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1DFB" w:rsidRPr="00A64D4B" w:rsidRDefault="00206810" w:rsidP="005B6581">
      <w:pPr>
        <w:ind w:right="23"/>
        <w:jc w:val="center"/>
        <w:rPr>
          <w:b/>
        </w:rPr>
      </w:pPr>
      <w:bookmarkStart w:id="0" w:name="_GoBack"/>
      <w:bookmarkEnd w:id="0"/>
      <w:r w:rsidRPr="00A64D4B">
        <w:rPr>
          <w:b/>
        </w:rPr>
        <w:t>PONENCIA</w:t>
      </w:r>
      <w:r w:rsidRPr="00A64D4B">
        <w:rPr>
          <w:b/>
          <w:spacing w:val="-5"/>
        </w:rPr>
        <w:t xml:space="preserve"> </w:t>
      </w:r>
      <w:r w:rsidRPr="00A64D4B">
        <w:rPr>
          <w:b/>
        </w:rPr>
        <w:t>PROYECTO</w:t>
      </w:r>
      <w:r w:rsidRPr="00A64D4B">
        <w:rPr>
          <w:b/>
          <w:spacing w:val="-6"/>
        </w:rPr>
        <w:t xml:space="preserve"> </w:t>
      </w:r>
      <w:r w:rsidRPr="00A64D4B">
        <w:rPr>
          <w:b/>
        </w:rPr>
        <w:t>DE</w:t>
      </w:r>
      <w:r w:rsidRPr="00A64D4B">
        <w:rPr>
          <w:b/>
          <w:spacing w:val="-6"/>
        </w:rPr>
        <w:t xml:space="preserve"> </w:t>
      </w:r>
      <w:r w:rsidRPr="00A64D4B">
        <w:rPr>
          <w:b/>
        </w:rPr>
        <w:t>ACUERDO</w:t>
      </w:r>
      <w:r w:rsidRPr="00A64D4B">
        <w:rPr>
          <w:b/>
          <w:spacing w:val="-6"/>
        </w:rPr>
        <w:t xml:space="preserve"> </w:t>
      </w:r>
      <w:r w:rsidRPr="00A64D4B">
        <w:rPr>
          <w:b/>
        </w:rPr>
        <w:t>NO. 435</w:t>
      </w:r>
      <w:r w:rsidRPr="00A64D4B">
        <w:rPr>
          <w:b/>
          <w:bCs/>
        </w:rPr>
        <w:t xml:space="preserve"> DE 2025</w:t>
      </w:r>
    </w:p>
    <w:p w:rsidR="00206810" w:rsidRPr="00A64D4B" w:rsidRDefault="00206810" w:rsidP="005B6581">
      <w:pPr>
        <w:jc w:val="center"/>
        <w:rPr>
          <w:b/>
          <w:bCs/>
        </w:rPr>
      </w:pPr>
      <w:r w:rsidRPr="00A64D4B">
        <w:rPr>
          <w:b/>
          <w:bCs/>
        </w:rPr>
        <w:t>PONENCIA PRIMER DEBATE</w:t>
      </w:r>
    </w:p>
    <w:p w:rsidR="00206810" w:rsidRPr="00A64D4B" w:rsidRDefault="00206810" w:rsidP="005B6581">
      <w:pPr>
        <w:suppressAutoHyphens/>
        <w:jc w:val="center"/>
        <w:rPr>
          <w:b/>
          <w:bCs/>
        </w:rPr>
      </w:pPr>
    </w:p>
    <w:p w:rsidR="00206810" w:rsidRPr="00A64D4B" w:rsidRDefault="00206810" w:rsidP="005B6581">
      <w:pPr>
        <w:jc w:val="center"/>
        <w:rPr>
          <w:b/>
        </w:rPr>
      </w:pPr>
      <w:r w:rsidRPr="00A64D4B">
        <w:rPr>
          <w:b/>
        </w:rPr>
        <w:t xml:space="preserve">“POR EL CUAL SE RINDE HOMENAJE EN EL CONCEJO DE BOGOTÁ A LA HEROÍNA COLOMBIANA POLICARPA SALAVARRIETA RÍOS </w:t>
      </w:r>
      <w:r w:rsidRPr="00A64D4B">
        <w:rPr>
          <w:b/>
          <w:i/>
        </w:rPr>
        <w:t>“LA POLA”</w:t>
      </w:r>
      <w:r w:rsidRPr="00A64D4B">
        <w:rPr>
          <w:b/>
        </w:rPr>
        <w:t>, QUIEN CUMPLIÓ UN PAPEL DESTACADO EN DISTINTOS PROCESOS HISTÓRICOS DE COLOMBIA Y DE LA CIUDAD DE BOGOTÁ D.C.”</w:t>
      </w:r>
    </w:p>
    <w:p w:rsidR="00206810" w:rsidRPr="00A64D4B" w:rsidRDefault="00206810" w:rsidP="005B6581">
      <w:pPr>
        <w:ind w:left="342" w:right="362"/>
        <w:jc w:val="center"/>
        <w:rPr>
          <w:b/>
        </w:rPr>
      </w:pPr>
    </w:p>
    <w:p w:rsidR="00206810" w:rsidRPr="00A64D4B" w:rsidRDefault="00206810" w:rsidP="005B6581">
      <w:pPr>
        <w:jc w:val="center"/>
        <w:rPr>
          <w:b/>
        </w:rPr>
      </w:pPr>
      <w:r w:rsidRPr="00A64D4B">
        <w:rPr>
          <w:b/>
        </w:rPr>
        <w:t xml:space="preserve">INFORME PONENCIA </w:t>
      </w:r>
      <w:r w:rsidRPr="00A64D4B">
        <w:rPr>
          <w:b/>
          <w:bCs/>
        </w:rPr>
        <w:t>POSITIVA SIN MODIFICACIONES</w:t>
      </w:r>
      <w:r w:rsidRPr="00A64D4B">
        <w:t xml:space="preserve"> </w:t>
      </w:r>
      <w:r w:rsidRPr="00A64D4B">
        <w:rPr>
          <w:b/>
        </w:rPr>
        <w:t>AL</w:t>
      </w:r>
    </w:p>
    <w:p w:rsidR="00C51DFB" w:rsidRPr="00A64D4B" w:rsidRDefault="00206810" w:rsidP="005B6581">
      <w:pPr>
        <w:jc w:val="center"/>
        <w:rPr>
          <w:b/>
        </w:rPr>
      </w:pPr>
      <w:r w:rsidRPr="00A64D4B">
        <w:rPr>
          <w:b/>
        </w:rPr>
        <w:t>PROYECTO DE ACUERDO</w:t>
      </w:r>
    </w:p>
    <w:p w:rsidR="005B6581" w:rsidRPr="00A64D4B" w:rsidRDefault="005B6581" w:rsidP="005B6581">
      <w:pPr>
        <w:pStyle w:val="Textoindependiente"/>
        <w:rPr>
          <w:b/>
          <w:i w:val="0"/>
          <w:sz w:val="22"/>
          <w:szCs w:val="22"/>
        </w:rPr>
      </w:pPr>
    </w:p>
    <w:p w:rsidR="00C51DFB" w:rsidRPr="00A64D4B" w:rsidRDefault="00206810" w:rsidP="005B6581">
      <w:pPr>
        <w:ind w:right="16"/>
        <w:jc w:val="center"/>
        <w:rPr>
          <w:b/>
        </w:rPr>
      </w:pPr>
      <w:r w:rsidRPr="00A64D4B">
        <w:rPr>
          <w:b/>
          <w:spacing w:val="-2"/>
        </w:rPr>
        <w:t>AUTORES:</w:t>
      </w:r>
    </w:p>
    <w:p w:rsidR="00206810" w:rsidRPr="00A64D4B" w:rsidRDefault="00206810" w:rsidP="005B6581">
      <w:pPr>
        <w:rPr>
          <w:rFonts w:eastAsia="Times New Roman"/>
          <w:b/>
        </w:rPr>
      </w:pPr>
      <w:r w:rsidRPr="00A64D4B">
        <w:rPr>
          <w:rFonts w:eastAsia="Times New Roman"/>
          <w:b/>
        </w:rPr>
        <w:t xml:space="preserve">HONORABLES CONCEJALES </w:t>
      </w:r>
    </w:p>
    <w:p w:rsidR="00206810" w:rsidRPr="00A64D4B" w:rsidRDefault="00206810" w:rsidP="005B6581">
      <w:pPr>
        <w:jc w:val="center"/>
        <w:rPr>
          <w:rFonts w:eastAsia="Times New Roman"/>
          <w:b/>
        </w:rPr>
      </w:pPr>
    </w:p>
    <w:p w:rsidR="00206810" w:rsidRPr="00A64D4B" w:rsidRDefault="00206810" w:rsidP="005B6581">
      <w:pPr>
        <w:pStyle w:val="Prrafodelista"/>
        <w:numPr>
          <w:ilvl w:val="0"/>
          <w:numId w:val="6"/>
        </w:numPr>
        <w:jc w:val="both"/>
        <w:rPr>
          <w:rFonts w:eastAsia="Times New Roman"/>
        </w:rPr>
      </w:pPr>
      <w:r w:rsidRPr="00A64D4B">
        <w:rPr>
          <w:rFonts w:eastAsia="Times New Roman"/>
          <w:b/>
        </w:rPr>
        <w:t xml:space="preserve">EMEL ROJAS CASTILLO - </w:t>
      </w:r>
      <w:r w:rsidR="000A101C" w:rsidRPr="00A64D4B">
        <w:rPr>
          <w:rFonts w:eastAsia="Times New Roman"/>
        </w:rPr>
        <w:t>Partido Nueva Fuerza Democrática</w:t>
      </w:r>
    </w:p>
    <w:p w:rsidR="00206810" w:rsidRPr="00A64D4B" w:rsidRDefault="00206810" w:rsidP="005B6581">
      <w:pPr>
        <w:pStyle w:val="Prrafodelista"/>
        <w:numPr>
          <w:ilvl w:val="0"/>
          <w:numId w:val="6"/>
        </w:numPr>
        <w:jc w:val="both"/>
        <w:rPr>
          <w:rFonts w:eastAsia="Times New Roman"/>
        </w:rPr>
      </w:pPr>
      <w:r w:rsidRPr="00A64D4B">
        <w:rPr>
          <w:rFonts w:eastAsia="Times New Roman"/>
          <w:b/>
        </w:rPr>
        <w:t xml:space="preserve">JUAN DANIEL OVIEDO </w:t>
      </w:r>
      <w:r w:rsidR="000A101C" w:rsidRPr="00A64D4B">
        <w:rPr>
          <w:rFonts w:eastAsia="Times New Roman"/>
          <w:b/>
        </w:rPr>
        <w:t xml:space="preserve">- </w:t>
      </w:r>
      <w:r w:rsidR="000A101C" w:rsidRPr="00A64D4B">
        <w:rPr>
          <w:rFonts w:eastAsia="Times New Roman"/>
        </w:rPr>
        <w:t>Movimiento con Toda Por Bogotá</w:t>
      </w:r>
    </w:p>
    <w:p w:rsidR="00206810" w:rsidRPr="00A64D4B" w:rsidRDefault="00206810" w:rsidP="005B6581">
      <w:pPr>
        <w:pStyle w:val="Prrafodelista"/>
        <w:numPr>
          <w:ilvl w:val="0"/>
          <w:numId w:val="6"/>
        </w:numPr>
        <w:jc w:val="both"/>
        <w:rPr>
          <w:rFonts w:eastAsia="Times New Roman"/>
        </w:rPr>
      </w:pPr>
      <w:r w:rsidRPr="00A64D4B">
        <w:rPr>
          <w:rFonts w:eastAsia="Times New Roman"/>
          <w:b/>
        </w:rPr>
        <w:t>ARMANDO GUTIÈRREZ GONZÁLEZ</w:t>
      </w:r>
      <w:r w:rsidRPr="00A64D4B">
        <w:rPr>
          <w:rFonts w:eastAsia="Times New Roman"/>
        </w:rPr>
        <w:t xml:space="preserve"> </w:t>
      </w:r>
      <w:r w:rsidR="000A101C" w:rsidRPr="00A64D4B">
        <w:rPr>
          <w:rFonts w:eastAsia="Times New Roman"/>
        </w:rPr>
        <w:t>- Partido Liberal Colombiano</w:t>
      </w:r>
    </w:p>
    <w:p w:rsidR="000A101C" w:rsidRPr="00A64D4B" w:rsidRDefault="00206810" w:rsidP="005B6581">
      <w:pPr>
        <w:pStyle w:val="Prrafodelista"/>
        <w:numPr>
          <w:ilvl w:val="0"/>
          <w:numId w:val="6"/>
        </w:numPr>
        <w:jc w:val="both"/>
        <w:rPr>
          <w:rFonts w:eastAsia="Times New Roman"/>
        </w:rPr>
      </w:pPr>
      <w:r w:rsidRPr="00A64D4B">
        <w:rPr>
          <w:rFonts w:eastAsia="Times New Roman"/>
          <w:b/>
        </w:rPr>
        <w:t>SAMIR JOSÉ ABISAMBRA VESGA</w:t>
      </w:r>
      <w:r w:rsidRPr="00A64D4B">
        <w:rPr>
          <w:rFonts w:eastAsia="Times New Roman"/>
        </w:rPr>
        <w:t xml:space="preserve"> </w:t>
      </w:r>
      <w:r w:rsidR="000A101C" w:rsidRPr="00A64D4B">
        <w:rPr>
          <w:rFonts w:eastAsia="Times New Roman"/>
        </w:rPr>
        <w:t>- Partido Liberal Colombiano</w:t>
      </w:r>
    </w:p>
    <w:p w:rsidR="00171AE0" w:rsidRPr="00A64D4B" w:rsidRDefault="00171AE0" w:rsidP="005B6581">
      <w:pPr>
        <w:ind w:right="6761"/>
        <w:jc w:val="both"/>
      </w:pPr>
    </w:p>
    <w:p w:rsidR="005B6581" w:rsidRPr="00A64D4B" w:rsidRDefault="005B6581" w:rsidP="005B6581">
      <w:pPr>
        <w:ind w:right="6761"/>
        <w:jc w:val="both"/>
      </w:pPr>
      <w:r w:rsidRPr="00A64D4B">
        <w:t>Doctor</w:t>
      </w:r>
    </w:p>
    <w:p w:rsidR="005B6581" w:rsidRPr="00A64D4B" w:rsidRDefault="005B6581" w:rsidP="005B6581">
      <w:pPr>
        <w:tabs>
          <w:tab w:val="left" w:pos="1504"/>
        </w:tabs>
        <w:rPr>
          <w:b/>
          <w:color w:val="333333"/>
          <w:spacing w:val="-2"/>
        </w:rPr>
      </w:pPr>
      <w:r w:rsidRPr="00A64D4B">
        <w:rPr>
          <w:b/>
          <w:color w:val="333333"/>
        </w:rPr>
        <w:t>DAVID</w:t>
      </w:r>
      <w:r w:rsidRPr="00A64D4B">
        <w:rPr>
          <w:b/>
          <w:color w:val="333333"/>
          <w:spacing w:val="-6"/>
        </w:rPr>
        <w:t xml:space="preserve"> </w:t>
      </w:r>
      <w:r w:rsidRPr="00A64D4B">
        <w:rPr>
          <w:b/>
          <w:color w:val="333333"/>
        </w:rPr>
        <w:t>ANDRÉS</w:t>
      </w:r>
      <w:r w:rsidRPr="00A64D4B">
        <w:rPr>
          <w:b/>
          <w:color w:val="333333"/>
          <w:spacing w:val="-10"/>
        </w:rPr>
        <w:t xml:space="preserve"> </w:t>
      </w:r>
      <w:r w:rsidRPr="00A64D4B">
        <w:rPr>
          <w:b/>
          <w:color w:val="333333"/>
        </w:rPr>
        <w:t>GIRALDO</w:t>
      </w:r>
      <w:r w:rsidRPr="00A64D4B">
        <w:rPr>
          <w:b/>
          <w:color w:val="333333"/>
          <w:spacing w:val="-10"/>
        </w:rPr>
        <w:t xml:space="preserve"> </w:t>
      </w:r>
      <w:r w:rsidRPr="00A64D4B">
        <w:rPr>
          <w:b/>
          <w:color w:val="333333"/>
          <w:spacing w:val="-2"/>
        </w:rPr>
        <w:t>UMBARILA</w:t>
      </w:r>
    </w:p>
    <w:p w:rsidR="005B6581" w:rsidRPr="00A64D4B" w:rsidRDefault="005B6581" w:rsidP="005B6581">
      <w:pPr>
        <w:tabs>
          <w:tab w:val="left" w:pos="1504"/>
        </w:tabs>
        <w:rPr>
          <w:b/>
        </w:rPr>
      </w:pPr>
      <w:r w:rsidRPr="00A64D4B">
        <w:t>Subsecretario</w:t>
      </w:r>
      <w:r w:rsidRPr="00A64D4B">
        <w:rPr>
          <w:spacing w:val="-13"/>
        </w:rPr>
        <w:t xml:space="preserve"> </w:t>
      </w:r>
      <w:r w:rsidRPr="00A64D4B">
        <w:t>Comisión</w:t>
      </w:r>
      <w:r w:rsidRPr="00A64D4B">
        <w:rPr>
          <w:spacing w:val="-17"/>
        </w:rPr>
        <w:t xml:space="preserve"> </w:t>
      </w:r>
      <w:r w:rsidRPr="00A64D4B">
        <w:t>primera</w:t>
      </w:r>
      <w:r w:rsidRPr="00A64D4B">
        <w:rPr>
          <w:spacing w:val="-8"/>
        </w:rPr>
        <w:t xml:space="preserve"> </w:t>
      </w:r>
      <w:r w:rsidRPr="00A64D4B">
        <w:t>del</w:t>
      </w:r>
      <w:r w:rsidRPr="00A64D4B">
        <w:rPr>
          <w:spacing w:val="-11"/>
        </w:rPr>
        <w:t xml:space="preserve"> </w:t>
      </w:r>
      <w:r w:rsidRPr="00A64D4B">
        <w:rPr>
          <w:spacing w:val="-4"/>
        </w:rPr>
        <w:t>Plan</w:t>
      </w:r>
    </w:p>
    <w:p w:rsidR="00C51DFB" w:rsidRPr="00A64D4B" w:rsidRDefault="00824F53" w:rsidP="005B6581">
      <w:pPr>
        <w:jc w:val="both"/>
      </w:pPr>
      <w:r w:rsidRPr="00A64D4B">
        <w:rPr>
          <w:spacing w:val="-2"/>
        </w:rPr>
        <w:t>Ciudad</w:t>
      </w:r>
    </w:p>
    <w:p w:rsidR="00C51DFB" w:rsidRPr="00A64D4B" w:rsidRDefault="00C51DFB" w:rsidP="005B6581">
      <w:pPr>
        <w:pStyle w:val="Textoindependiente"/>
        <w:jc w:val="both"/>
        <w:rPr>
          <w:i w:val="0"/>
          <w:sz w:val="22"/>
          <w:szCs w:val="22"/>
        </w:rPr>
      </w:pPr>
    </w:p>
    <w:p w:rsidR="00C51DFB" w:rsidRPr="00A64D4B" w:rsidRDefault="00824F53" w:rsidP="005B6581">
      <w:pPr>
        <w:jc w:val="both"/>
      </w:pPr>
      <w:r w:rsidRPr="00A64D4B">
        <w:rPr>
          <w:spacing w:val="-2"/>
        </w:rPr>
        <w:t>Honorable</w:t>
      </w:r>
      <w:r w:rsidR="00D5412A" w:rsidRPr="00A64D4B">
        <w:t xml:space="preserve"> Subsecretario</w:t>
      </w:r>
      <w:r w:rsidR="00D5412A" w:rsidRPr="00A64D4B">
        <w:rPr>
          <w:spacing w:val="-2"/>
        </w:rPr>
        <w:t>,</w:t>
      </w:r>
    </w:p>
    <w:p w:rsidR="00C51DFB" w:rsidRPr="00A64D4B" w:rsidRDefault="00C51DFB" w:rsidP="005B6581">
      <w:pPr>
        <w:pStyle w:val="Textoindependiente"/>
        <w:jc w:val="both"/>
        <w:rPr>
          <w:i w:val="0"/>
          <w:sz w:val="22"/>
          <w:szCs w:val="22"/>
        </w:rPr>
      </w:pPr>
    </w:p>
    <w:p w:rsidR="00C51DFB" w:rsidRPr="00A64D4B" w:rsidRDefault="00824F53" w:rsidP="005B6581">
      <w:pPr>
        <w:ind w:right="355"/>
        <w:jc w:val="both"/>
      </w:pPr>
      <w:r w:rsidRPr="00A64D4B">
        <w:t>Por designación efectuada mediante so</w:t>
      </w:r>
      <w:r w:rsidR="005B6581" w:rsidRPr="00A64D4B">
        <w:t xml:space="preserve">rteo público realizado el día </w:t>
      </w:r>
      <w:r w:rsidR="00A52E9F" w:rsidRPr="00A64D4B">
        <w:t>05</w:t>
      </w:r>
      <w:r w:rsidR="005B6581" w:rsidRPr="00A64D4B">
        <w:t xml:space="preserve"> de abril de 2025</w:t>
      </w:r>
      <w:r w:rsidRPr="00A64D4B">
        <w:t>, en el Recinto “Los Comuneros” de la Corporación fue designado como Ponente del</w:t>
      </w:r>
      <w:r w:rsidRPr="00A64D4B">
        <w:rPr>
          <w:spacing w:val="-7"/>
        </w:rPr>
        <w:t xml:space="preserve"> </w:t>
      </w:r>
      <w:r w:rsidRPr="00A64D4B">
        <w:t>Proyecto</w:t>
      </w:r>
      <w:r w:rsidRPr="00A64D4B">
        <w:rPr>
          <w:spacing w:val="-8"/>
        </w:rPr>
        <w:t xml:space="preserve"> </w:t>
      </w:r>
      <w:r w:rsidRPr="00A64D4B">
        <w:t>de</w:t>
      </w:r>
      <w:r w:rsidRPr="00A64D4B">
        <w:rPr>
          <w:spacing w:val="-6"/>
        </w:rPr>
        <w:t xml:space="preserve"> </w:t>
      </w:r>
      <w:r w:rsidRPr="00A64D4B">
        <w:t>Acuerdo</w:t>
      </w:r>
      <w:r w:rsidRPr="00A64D4B">
        <w:rPr>
          <w:spacing w:val="-2"/>
        </w:rPr>
        <w:t xml:space="preserve"> </w:t>
      </w:r>
      <w:r w:rsidR="00A52E9F" w:rsidRPr="00A64D4B">
        <w:rPr>
          <w:spacing w:val="-2"/>
        </w:rPr>
        <w:t>435</w:t>
      </w:r>
      <w:r w:rsidRPr="00A64D4B">
        <w:rPr>
          <w:spacing w:val="-8"/>
        </w:rPr>
        <w:t xml:space="preserve"> </w:t>
      </w:r>
      <w:r w:rsidRPr="00A64D4B">
        <w:t>de</w:t>
      </w:r>
      <w:r w:rsidRPr="00A64D4B">
        <w:rPr>
          <w:spacing w:val="-6"/>
        </w:rPr>
        <w:t xml:space="preserve"> </w:t>
      </w:r>
      <w:r w:rsidRPr="00A64D4B">
        <w:t>2024,</w:t>
      </w:r>
      <w:r w:rsidRPr="00A64D4B">
        <w:rPr>
          <w:spacing w:val="-5"/>
        </w:rPr>
        <w:t xml:space="preserve"> </w:t>
      </w:r>
      <w:r w:rsidRPr="00A64D4B">
        <w:t>designación</w:t>
      </w:r>
      <w:r w:rsidRPr="00A64D4B">
        <w:rPr>
          <w:spacing w:val="-5"/>
        </w:rPr>
        <w:t xml:space="preserve"> </w:t>
      </w:r>
      <w:r w:rsidRPr="00A64D4B">
        <w:t>comunicada</w:t>
      </w:r>
      <w:r w:rsidRPr="00A64D4B">
        <w:rPr>
          <w:spacing w:val="-8"/>
        </w:rPr>
        <w:t xml:space="preserve"> </w:t>
      </w:r>
      <w:r w:rsidRPr="00A64D4B">
        <w:t>a</w:t>
      </w:r>
      <w:r w:rsidRPr="00A64D4B">
        <w:rPr>
          <w:spacing w:val="-3"/>
        </w:rPr>
        <w:t xml:space="preserve"> </w:t>
      </w:r>
      <w:r w:rsidRPr="00A64D4B">
        <w:t>través</w:t>
      </w:r>
      <w:r w:rsidRPr="00A64D4B">
        <w:rPr>
          <w:spacing w:val="-6"/>
        </w:rPr>
        <w:t xml:space="preserve"> </w:t>
      </w:r>
      <w:r w:rsidRPr="00A64D4B">
        <w:t>de</w:t>
      </w:r>
      <w:r w:rsidRPr="00A64D4B">
        <w:rPr>
          <w:spacing w:val="-8"/>
        </w:rPr>
        <w:t xml:space="preserve"> </w:t>
      </w:r>
      <w:r w:rsidRPr="00A64D4B">
        <w:t>memorando 2024IE</w:t>
      </w:r>
      <w:r w:rsidR="00A52E9F" w:rsidRPr="00A64D4B">
        <w:t>7965</w:t>
      </w:r>
      <w:r w:rsidRPr="00A64D4B">
        <w:t xml:space="preserve"> y estando dentro de los términos reglamentarios, me permito rendir Ponencia</w:t>
      </w:r>
      <w:r w:rsidRPr="00A64D4B">
        <w:rPr>
          <w:spacing w:val="-13"/>
        </w:rPr>
        <w:t xml:space="preserve"> </w:t>
      </w:r>
      <w:r w:rsidRPr="00A64D4B">
        <w:t>POSITIVA</w:t>
      </w:r>
      <w:r w:rsidRPr="00A64D4B">
        <w:rPr>
          <w:spacing w:val="-11"/>
        </w:rPr>
        <w:t xml:space="preserve"> </w:t>
      </w:r>
      <w:r w:rsidRPr="00A64D4B">
        <w:t>SIN</w:t>
      </w:r>
      <w:r w:rsidRPr="00A64D4B">
        <w:rPr>
          <w:spacing w:val="-11"/>
        </w:rPr>
        <w:t xml:space="preserve"> </w:t>
      </w:r>
      <w:r w:rsidRPr="00A64D4B">
        <w:t>MODIFICACIONES</w:t>
      </w:r>
      <w:r w:rsidRPr="00A64D4B">
        <w:rPr>
          <w:spacing w:val="-13"/>
        </w:rPr>
        <w:t xml:space="preserve"> </w:t>
      </w:r>
      <w:r w:rsidRPr="00A64D4B">
        <w:t>para</w:t>
      </w:r>
      <w:r w:rsidRPr="00A64D4B">
        <w:rPr>
          <w:spacing w:val="-13"/>
        </w:rPr>
        <w:t xml:space="preserve"> </w:t>
      </w:r>
      <w:r w:rsidRPr="00A64D4B">
        <w:t>primer</w:t>
      </w:r>
      <w:r w:rsidRPr="00A64D4B">
        <w:rPr>
          <w:spacing w:val="-13"/>
        </w:rPr>
        <w:t xml:space="preserve"> </w:t>
      </w:r>
      <w:r w:rsidRPr="00A64D4B">
        <w:t>debate</w:t>
      </w:r>
      <w:r w:rsidRPr="00A64D4B">
        <w:rPr>
          <w:spacing w:val="-12"/>
        </w:rPr>
        <w:t xml:space="preserve"> </w:t>
      </w:r>
      <w:r w:rsidRPr="00A64D4B">
        <w:t>al</w:t>
      </w:r>
      <w:r w:rsidRPr="00A64D4B">
        <w:rPr>
          <w:spacing w:val="-13"/>
        </w:rPr>
        <w:t xml:space="preserve"> </w:t>
      </w:r>
      <w:r w:rsidRPr="00A64D4B">
        <w:t>Proyecto</w:t>
      </w:r>
      <w:r w:rsidRPr="00A64D4B">
        <w:rPr>
          <w:spacing w:val="-12"/>
        </w:rPr>
        <w:t xml:space="preserve"> </w:t>
      </w:r>
      <w:r w:rsidRPr="00A64D4B">
        <w:t>de</w:t>
      </w:r>
      <w:r w:rsidRPr="00A64D4B">
        <w:rPr>
          <w:spacing w:val="-10"/>
        </w:rPr>
        <w:t xml:space="preserve"> </w:t>
      </w:r>
      <w:r w:rsidRPr="00A64D4B">
        <w:t>Acuerdo de la referencia, en los siguientes términos:</w:t>
      </w:r>
    </w:p>
    <w:p w:rsidR="005B6581" w:rsidRPr="00A64D4B" w:rsidRDefault="005B6581" w:rsidP="005B6581">
      <w:pPr>
        <w:pStyle w:val="Ttulo1"/>
        <w:spacing w:before="9"/>
        <w:ind w:left="341" w:right="2583" w:firstLine="3156"/>
        <w:jc w:val="both"/>
        <w:rPr>
          <w:sz w:val="22"/>
          <w:szCs w:val="22"/>
          <w:highlight w:val="yellow"/>
        </w:rPr>
      </w:pPr>
    </w:p>
    <w:p w:rsidR="00C51DFB" w:rsidRPr="00A64D4B" w:rsidRDefault="00824F53" w:rsidP="00E62DD5">
      <w:pPr>
        <w:pStyle w:val="Ttulo1"/>
        <w:spacing w:before="9"/>
        <w:ind w:left="0" w:right="1008"/>
        <w:rPr>
          <w:sz w:val="22"/>
          <w:szCs w:val="22"/>
        </w:rPr>
      </w:pPr>
      <w:r w:rsidRPr="00A64D4B">
        <w:rPr>
          <w:sz w:val="22"/>
          <w:szCs w:val="22"/>
        </w:rPr>
        <w:t>EXPOSICIÓN</w:t>
      </w:r>
      <w:r w:rsidRPr="00A64D4B">
        <w:rPr>
          <w:spacing w:val="-17"/>
          <w:sz w:val="22"/>
          <w:szCs w:val="22"/>
        </w:rPr>
        <w:t xml:space="preserve"> </w:t>
      </w:r>
      <w:r w:rsidRPr="00A64D4B">
        <w:rPr>
          <w:sz w:val="22"/>
          <w:szCs w:val="22"/>
        </w:rPr>
        <w:t>DE</w:t>
      </w:r>
      <w:r w:rsidRPr="00A64D4B">
        <w:rPr>
          <w:spacing w:val="-17"/>
          <w:sz w:val="22"/>
          <w:szCs w:val="22"/>
        </w:rPr>
        <w:t xml:space="preserve"> </w:t>
      </w:r>
      <w:r w:rsidRPr="00A64D4B">
        <w:rPr>
          <w:sz w:val="22"/>
          <w:szCs w:val="22"/>
        </w:rPr>
        <w:t>MOTIVOS OBJETO</w:t>
      </w:r>
      <w:r w:rsidR="00A52E9F" w:rsidRPr="00A64D4B">
        <w:rPr>
          <w:sz w:val="22"/>
          <w:szCs w:val="22"/>
        </w:rPr>
        <w:t xml:space="preserve"> </w:t>
      </w:r>
      <w:r w:rsidRPr="00A64D4B">
        <w:rPr>
          <w:sz w:val="22"/>
          <w:szCs w:val="22"/>
        </w:rPr>
        <w:t xml:space="preserve">DEL PROYECTO DE </w:t>
      </w:r>
      <w:r w:rsidR="00A52E9F" w:rsidRPr="00A64D4B">
        <w:rPr>
          <w:sz w:val="22"/>
          <w:szCs w:val="22"/>
        </w:rPr>
        <w:t>A</w:t>
      </w:r>
      <w:r w:rsidRPr="00A64D4B">
        <w:rPr>
          <w:sz w:val="22"/>
          <w:szCs w:val="22"/>
        </w:rPr>
        <w:t>CUERDO</w:t>
      </w:r>
    </w:p>
    <w:p w:rsidR="00C51DFB" w:rsidRPr="00A64D4B" w:rsidRDefault="00C51DFB" w:rsidP="005B6581">
      <w:pPr>
        <w:pStyle w:val="Textoindependiente"/>
        <w:spacing w:before="8"/>
        <w:jc w:val="both"/>
        <w:rPr>
          <w:b/>
          <w:i w:val="0"/>
          <w:sz w:val="22"/>
          <w:szCs w:val="22"/>
          <w:highlight w:val="yellow"/>
        </w:rPr>
      </w:pPr>
    </w:p>
    <w:p w:rsidR="00A52E9F" w:rsidRPr="00A64D4B" w:rsidRDefault="00A52E9F" w:rsidP="00A52E9F">
      <w:pPr>
        <w:ind w:right="441"/>
        <w:jc w:val="both"/>
        <w:rPr>
          <w:rFonts w:eastAsia="Times New Roman"/>
        </w:rPr>
      </w:pPr>
      <w:r w:rsidRPr="00A64D4B">
        <w:rPr>
          <w:rFonts w:eastAsia="Times New Roman"/>
        </w:rPr>
        <w:t>La presente iniciativa tiene por objeto realizar un reconocimiento, conmemoración y reivindicación a la heroína colombiana Policarpa Salavarrieta Ríos “La Pola”, quien cumplió un papel destacado en distintos procesos históricos en Colombia y en la Ciudad de Bogotá D.C.; esto mediante la elaboración e instalación de un busto dentro de las instalaciones de la Corporación.</w:t>
      </w:r>
    </w:p>
    <w:p w:rsidR="00171AE0" w:rsidRPr="00A64D4B" w:rsidRDefault="00171AE0" w:rsidP="00A52E9F">
      <w:pPr>
        <w:ind w:right="441"/>
        <w:jc w:val="both"/>
        <w:rPr>
          <w:rFonts w:eastAsia="Times New Roman"/>
        </w:rPr>
      </w:pPr>
    </w:p>
    <w:p w:rsidR="00CD3CEE" w:rsidRPr="00A64D4B" w:rsidRDefault="00CD3CEE" w:rsidP="00A64D4B">
      <w:pPr>
        <w:pStyle w:val="Prrafodelista"/>
        <w:widowControl/>
        <w:numPr>
          <w:ilvl w:val="0"/>
          <w:numId w:val="13"/>
        </w:numPr>
        <w:autoSpaceDE/>
        <w:autoSpaceDN/>
        <w:jc w:val="both"/>
        <w:rPr>
          <w:rFonts w:eastAsia="Times New Roman"/>
          <w:b/>
        </w:rPr>
      </w:pPr>
      <w:r w:rsidRPr="00A64D4B">
        <w:rPr>
          <w:rFonts w:eastAsia="Times New Roman"/>
          <w:b/>
        </w:rPr>
        <w:t>ANTECEDENTES DE LA INICIATIVA</w:t>
      </w:r>
    </w:p>
    <w:p w:rsidR="00CD3CEE" w:rsidRPr="00A64D4B" w:rsidRDefault="00CD3CEE" w:rsidP="00CD3CEE">
      <w:pPr>
        <w:jc w:val="both"/>
        <w:rPr>
          <w:rFonts w:eastAsia="Times New Roman"/>
        </w:rPr>
      </w:pPr>
    </w:p>
    <w:p w:rsidR="00CD3CEE" w:rsidRPr="00A64D4B" w:rsidRDefault="00CD3CEE" w:rsidP="00CD3CEE">
      <w:pPr>
        <w:jc w:val="both"/>
        <w:rPr>
          <w:rFonts w:eastAsia="Times New Roman"/>
        </w:rPr>
      </w:pPr>
      <w:r w:rsidRPr="00A64D4B">
        <w:rPr>
          <w:rFonts w:eastAsia="Times New Roman"/>
        </w:rPr>
        <w:t>Para la elaboración del presente Proyecto de Acuerdo se tomó en consideración el Acuerdo 3 de 1996, teniendo en cuenta que al interior de la Corporación se cuenta con un busto de una figura política importante como es Álvaro Gómez Hurtado: </w:t>
      </w:r>
    </w:p>
    <w:p w:rsidR="00CD3CEE" w:rsidRPr="00A64D4B" w:rsidRDefault="00CD3CEE" w:rsidP="00CD3CEE">
      <w:pPr>
        <w:jc w:val="both"/>
        <w:rPr>
          <w:rFonts w:eastAsia="Times New Roman"/>
        </w:rPr>
      </w:pPr>
    </w:p>
    <w:p w:rsidR="00CD3CEE" w:rsidRPr="00E62DD5" w:rsidRDefault="00CD3CEE" w:rsidP="00A64D4B">
      <w:pPr>
        <w:ind w:left="720"/>
        <w:jc w:val="both"/>
        <w:rPr>
          <w:rFonts w:eastAsia="Times New Roman"/>
          <w:b/>
        </w:rPr>
      </w:pPr>
      <w:r w:rsidRPr="00E62DD5">
        <w:rPr>
          <w:rFonts w:eastAsia="Times New Roman"/>
          <w:b/>
        </w:rPr>
        <w:t>Acuerdo 3 de 1996 </w:t>
      </w:r>
    </w:p>
    <w:p w:rsidR="00CD3CEE" w:rsidRPr="00A64D4B" w:rsidRDefault="00CD3CEE" w:rsidP="00A64D4B">
      <w:pPr>
        <w:ind w:left="720"/>
        <w:jc w:val="both"/>
        <w:rPr>
          <w:rFonts w:eastAsia="Times New Roman"/>
        </w:rPr>
      </w:pPr>
      <w:r w:rsidRPr="00A64D4B">
        <w:rPr>
          <w:rFonts w:eastAsia="Times New Roman"/>
        </w:rPr>
        <w:t>“Por el cual se rinde homenaje al inmolado dirigente bogotano y adalid de la patria Álvaro Gómez Hurtado y se dictan otras disposiciones” </w:t>
      </w:r>
    </w:p>
    <w:p w:rsidR="00CD3CEE" w:rsidRPr="00A64D4B" w:rsidRDefault="00CD3CEE" w:rsidP="00CD3CEE">
      <w:pPr>
        <w:rPr>
          <w:rFonts w:eastAsia="Times New Roman"/>
        </w:rPr>
      </w:pPr>
    </w:p>
    <w:p w:rsidR="00CD3CEE" w:rsidRPr="00A64D4B" w:rsidRDefault="00CD3CEE" w:rsidP="00CD3CEE">
      <w:pPr>
        <w:ind w:left="720"/>
        <w:jc w:val="both"/>
        <w:rPr>
          <w:rFonts w:eastAsia="Times New Roman"/>
        </w:rPr>
      </w:pPr>
      <w:r w:rsidRPr="00A64D4B">
        <w:rPr>
          <w:rFonts w:eastAsia="Times New Roman"/>
          <w:b/>
        </w:rPr>
        <w:lastRenderedPageBreak/>
        <w:t xml:space="preserve">Artículo 4. </w:t>
      </w:r>
      <w:r w:rsidRPr="00A64D4B">
        <w:rPr>
          <w:rFonts w:eastAsia="Times New Roman"/>
          <w:b/>
          <w:i/>
        </w:rPr>
        <w:t>“</w:t>
      </w:r>
      <w:r w:rsidRPr="00A64D4B">
        <w:rPr>
          <w:rFonts w:eastAsia="Times New Roman"/>
          <w:i/>
        </w:rPr>
        <w:t xml:space="preserve">El Concejo de Santa Fe de Bogotá, dispondrá la colocación de un busto a la Memoria del Doctor ÁLVARO GÓMEZ </w:t>
      </w:r>
      <w:proofErr w:type="gramStart"/>
      <w:r w:rsidRPr="00A64D4B">
        <w:rPr>
          <w:rFonts w:eastAsia="Times New Roman"/>
          <w:i/>
        </w:rPr>
        <w:t>HURTADO,.</w:t>
      </w:r>
      <w:proofErr w:type="gramEnd"/>
      <w:r w:rsidRPr="00A64D4B">
        <w:rPr>
          <w:rFonts w:eastAsia="Times New Roman"/>
          <w:i/>
        </w:rPr>
        <w:t xml:space="preserve"> El cual será descubierto durante acto especial organizado por el mismo Concejo, evento que se llevará a cabo dentro de los treinta (30) días siguientes a partir de la sanción del presente Acuerdo.”</w:t>
      </w:r>
    </w:p>
    <w:p w:rsidR="00CD3CEE" w:rsidRPr="00A64D4B" w:rsidRDefault="00CD3CEE" w:rsidP="00CD3CEE">
      <w:pPr>
        <w:rPr>
          <w:rFonts w:eastAsia="Times New Roman"/>
        </w:rPr>
      </w:pPr>
    </w:p>
    <w:p w:rsidR="00CD3CEE" w:rsidRDefault="00CD3CEE" w:rsidP="00CD3CEE">
      <w:pPr>
        <w:ind w:left="720"/>
        <w:jc w:val="both"/>
        <w:rPr>
          <w:rFonts w:eastAsia="Times New Roman"/>
          <w:i/>
        </w:rPr>
      </w:pPr>
      <w:r w:rsidRPr="00A64D4B">
        <w:rPr>
          <w:rFonts w:eastAsia="Times New Roman"/>
          <w:b/>
        </w:rPr>
        <w:t xml:space="preserve">Artículo 5. </w:t>
      </w:r>
      <w:r w:rsidRPr="00A64D4B">
        <w:rPr>
          <w:rFonts w:eastAsia="Times New Roman"/>
          <w:b/>
          <w:i/>
        </w:rPr>
        <w:t>“</w:t>
      </w:r>
      <w:r w:rsidRPr="00A64D4B">
        <w:rPr>
          <w:rFonts w:eastAsia="Times New Roman"/>
          <w:i/>
        </w:rPr>
        <w:t>El busto del Doctor ÁLVARO GÓMEZ HURTADO, mencionado en el artículo anterior se erigirá en la plazoleta de JOSÉ MIGUEL REY, del Concejo de Santa Fe de Bogotá, D.C.” </w:t>
      </w:r>
    </w:p>
    <w:p w:rsidR="00A64D4B" w:rsidRDefault="00A64D4B" w:rsidP="00CD3CEE">
      <w:pPr>
        <w:ind w:left="720"/>
        <w:jc w:val="both"/>
        <w:rPr>
          <w:rFonts w:eastAsia="Times New Roman"/>
        </w:rPr>
      </w:pPr>
    </w:p>
    <w:p w:rsidR="00C51DFB" w:rsidRPr="00A64D4B" w:rsidRDefault="00171AE0" w:rsidP="00A64D4B">
      <w:pPr>
        <w:pStyle w:val="Ttulo1"/>
        <w:numPr>
          <w:ilvl w:val="0"/>
          <w:numId w:val="13"/>
        </w:numPr>
        <w:tabs>
          <w:tab w:val="left" w:pos="2141"/>
        </w:tabs>
        <w:spacing w:before="1"/>
        <w:rPr>
          <w:sz w:val="22"/>
          <w:szCs w:val="22"/>
        </w:rPr>
      </w:pPr>
      <w:r w:rsidRPr="00A64D4B">
        <w:rPr>
          <w:spacing w:val="-2"/>
          <w:sz w:val="22"/>
          <w:szCs w:val="22"/>
        </w:rPr>
        <w:t>J</w:t>
      </w:r>
      <w:r w:rsidR="00824F53" w:rsidRPr="00A64D4B">
        <w:rPr>
          <w:spacing w:val="-2"/>
          <w:sz w:val="22"/>
          <w:szCs w:val="22"/>
        </w:rPr>
        <w:t>USTIFICACIÓN</w:t>
      </w:r>
      <w:r w:rsidR="00824F53" w:rsidRPr="00A64D4B">
        <w:rPr>
          <w:spacing w:val="-8"/>
          <w:sz w:val="22"/>
          <w:szCs w:val="22"/>
        </w:rPr>
        <w:t xml:space="preserve"> </w:t>
      </w:r>
      <w:r w:rsidR="00824F53" w:rsidRPr="00A64D4B">
        <w:rPr>
          <w:spacing w:val="-2"/>
          <w:sz w:val="22"/>
          <w:szCs w:val="22"/>
        </w:rPr>
        <w:t>Y</w:t>
      </w:r>
      <w:r w:rsidR="00824F53" w:rsidRPr="00A64D4B">
        <w:rPr>
          <w:spacing w:val="-7"/>
          <w:sz w:val="22"/>
          <w:szCs w:val="22"/>
        </w:rPr>
        <w:t xml:space="preserve"> </w:t>
      </w:r>
      <w:r w:rsidR="00824F53" w:rsidRPr="00A64D4B">
        <w:rPr>
          <w:spacing w:val="-2"/>
          <w:sz w:val="22"/>
          <w:szCs w:val="22"/>
        </w:rPr>
        <w:t>ANÁLISIS</w:t>
      </w:r>
      <w:r w:rsidR="00824F53" w:rsidRPr="00A64D4B">
        <w:rPr>
          <w:spacing w:val="-6"/>
          <w:sz w:val="22"/>
          <w:szCs w:val="22"/>
        </w:rPr>
        <w:t xml:space="preserve"> </w:t>
      </w:r>
      <w:r w:rsidR="00824F53" w:rsidRPr="00A64D4B">
        <w:rPr>
          <w:spacing w:val="-2"/>
          <w:sz w:val="22"/>
          <w:szCs w:val="22"/>
        </w:rPr>
        <w:t>DE</w:t>
      </w:r>
      <w:r w:rsidR="00824F53" w:rsidRPr="00A64D4B">
        <w:rPr>
          <w:spacing w:val="-7"/>
          <w:sz w:val="22"/>
          <w:szCs w:val="22"/>
        </w:rPr>
        <w:t xml:space="preserve"> </w:t>
      </w:r>
      <w:r w:rsidR="00824F53" w:rsidRPr="00A64D4B">
        <w:rPr>
          <w:spacing w:val="-2"/>
          <w:sz w:val="22"/>
          <w:szCs w:val="22"/>
        </w:rPr>
        <w:t>CONVENIENCIA</w:t>
      </w:r>
      <w:r w:rsidR="00824F53" w:rsidRPr="00A64D4B">
        <w:rPr>
          <w:spacing w:val="-7"/>
          <w:sz w:val="22"/>
          <w:szCs w:val="22"/>
        </w:rPr>
        <w:t xml:space="preserve"> </w:t>
      </w:r>
      <w:r w:rsidR="00824F53" w:rsidRPr="00A64D4B">
        <w:rPr>
          <w:spacing w:val="-2"/>
          <w:sz w:val="22"/>
          <w:szCs w:val="22"/>
        </w:rPr>
        <w:t>DE</w:t>
      </w:r>
      <w:r w:rsidR="00824F53" w:rsidRPr="00A64D4B">
        <w:rPr>
          <w:spacing w:val="-7"/>
          <w:sz w:val="22"/>
          <w:szCs w:val="22"/>
        </w:rPr>
        <w:t xml:space="preserve"> </w:t>
      </w:r>
      <w:r w:rsidR="00824F53" w:rsidRPr="00A64D4B">
        <w:rPr>
          <w:spacing w:val="-2"/>
          <w:sz w:val="22"/>
          <w:szCs w:val="22"/>
        </w:rPr>
        <w:t>LA</w:t>
      </w:r>
      <w:r w:rsidR="00824F53" w:rsidRPr="00A64D4B">
        <w:rPr>
          <w:spacing w:val="-8"/>
          <w:sz w:val="22"/>
          <w:szCs w:val="22"/>
        </w:rPr>
        <w:t xml:space="preserve"> </w:t>
      </w:r>
      <w:r w:rsidR="00824F53" w:rsidRPr="00A64D4B">
        <w:rPr>
          <w:spacing w:val="-2"/>
          <w:sz w:val="22"/>
          <w:szCs w:val="22"/>
        </w:rPr>
        <w:t>INICIATIVA</w:t>
      </w:r>
    </w:p>
    <w:p w:rsidR="00171AE0" w:rsidRDefault="00171AE0" w:rsidP="00171AE0">
      <w:pPr>
        <w:pStyle w:val="Ttulo1"/>
        <w:tabs>
          <w:tab w:val="left" w:pos="2141"/>
        </w:tabs>
        <w:spacing w:before="1"/>
        <w:ind w:left="2141"/>
        <w:rPr>
          <w:spacing w:val="-2"/>
          <w:sz w:val="22"/>
          <w:szCs w:val="22"/>
        </w:rPr>
      </w:pPr>
    </w:p>
    <w:p w:rsidR="00171AE0" w:rsidRPr="00A64D4B" w:rsidRDefault="00171AE0" w:rsidP="00171AE0">
      <w:pPr>
        <w:pBdr>
          <w:top w:val="nil"/>
          <w:left w:val="nil"/>
          <w:bottom w:val="nil"/>
          <w:right w:val="nil"/>
          <w:between w:val="nil"/>
        </w:pBdr>
        <w:jc w:val="both"/>
        <w:rPr>
          <w:rFonts w:eastAsia="Times New Roman"/>
        </w:rPr>
      </w:pPr>
      <w:r w:rsidRPr="00A64D4B">
        <w:rPr>
          <w:rFonts w:eastAsia="Times New Roman"/>
        </w:rPr>
        <w:t>Policarpa Salavarrieta Ríos, más conocida como “La Pola”, llegó a Bogotá en el año de 1817, para trabajar como costurera, un oficio que disimulaba su verdadera misión, que no era otra que conspirar contra el gobierno del Virrey Sámano. “La Pola” colaboraba con el ejército libertador como mensajera de la guerrilla de los Llanos, ayudaba con las compras del material de guerra, y reclutaba a jóvenes para que se vincularan al ejército patriota (Blanco y Poveda, 2009).</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Fue una heroína de la Independencia, del terror impuesto en la Nueva Granada a principios del siglo XIX durante la reconquista española. La labor de “La Pola” ha sido resaltada en la literatura especializada sobre la materia de la siguiente forma:</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Con su actividad arriesgada para mantener al ejército patriota informado de los movimientos de los realistas, mostró que era una mujer astuta y dotada de cualidades inteligentes.</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Se educó y fue consecuente con su deber de educar a los demás –función que desempeñó por un año en la escuelita de Guaduas, su ciudad natal–, se infiltró como costurera en casas de realistas y, con profunda convicción, motivó a soldados para que abandonaran las filas realistas y se integraran a las independentistas.</w:t>
      </w:r>
    </w:p>
    <w:p w:rsidR="00171AE0"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Con tan solo 21 años, las palabras de la Pola ya revelaban la claridad política y la formación ideológica con la que se había preparado para servir como pilar fundamental del movimiento independentista. Aunque ella siempre consideró que no era más que un eslabón de una cadena integrada por valiosas personas, su presencia y arriesgada actividad fermentaron las bases de la independencia de la Nueva Granada. (Machado, 2018)</w:t>
      </w:r>
    </w:p>
    <w:p w:rsidR="00171AE0"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Como una pequeña muestra de la valentía del liderazgo de Policarpa es importante resaltar sus palabras antes de ser fusilada por el ejército en Bogotá el 14 de noviembre de 1817:</w:t>
      </w:r>
    </w:p>
    <w:p w:rsidR="007F3ECC" w:rsidRPr="00A64D4B" w:rsidRDefault="007F3ECC" w:rsidP="007F3ECC">
      <w:pPr>
        <w:ind w:right="386"/>
        <w:jc w:val="both"/>
        <w:rPr>
          <w:rFonts w:eastAsia="Times New Roman"/>
        </w:rPr>
      </w:pPr>
    </w:p>
    <w:p w:rsidR="00171AE0" w:rsidRPr="00A64D4B" w:rsidRDefault="00171AE0" w:rsidP="007F3ECC">
      <w:pPr>
        <w:ind w:left="284" w:right="386"/>
        <w:jc w:val="center"/>
        <w:rPr>
          <w:rFonts w:eastAsia="Times New Roman"/>
        </w:rPr>
      </w:pPr>
      <w:r w:rsidRPr="00A64D4B">
        <w:rPr>
          <w:rFonts w:eastAsia="Times New Roman"/>
          <w:i/>
        </w:rPr>
        <w:t xml:space="preserve">“Ojalá me fusilasen aquí mismo, para no ver a americanos como vos, mayor Córdoba, sirviendo de instrumento a nuestros verdugos. Pero el día llegará, ¡españoles…! ¡El día llegará en que a esta ciudad entren las tropas de la libertad y de la justicia, y entonces temed, que en vano serán vuestras súplicas y gemidos! Solo me duele la suerte oscura de mi patria […]. ¡Pueblo de Santafé! Muero inocente, solo por buscar la independencia de mi Patria. ¿Y vais a permitir que se cometa el crimen? Dios eterno, ved esta injusticia”. </w:t>
      </w:r>
      <w:r w:rsidRPr="00A64D4B">
        <w:rPr>
          <w:rFonts w:eastAsia="Times New Roman"/>
        </w:rPr>
        <w:t>(Forero, 1972)</w:t>
      </w:r>
    </w:p>
    <w:p w:rsidR="00171AE0"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 xml:space="preserve">Policarpa Salavarrieta participó en el grito de independencia del 20 de julio de 1810 a sus 15 años. Más adelante, sus actividades durante la época independentista estuvieron especialmente vinculadas con el ejército patriota de los Llanos: recibía y mandaba mensajes, compraba material de guerra, convencía individualmente a jóvenes y les ayudaba a adherirse a los grupos patriotas. Experta en espionaje, Policarpa se volvió rápidamente indispensable para la causa patriota. Trabajaba siempre al lado de algún compatriota como su hermano Bibiano, pero su compañero de trabajo más importante fue Alejo </w:t>
      </w:r>
      <w:proofErr w:type="spellStart"/>
      <w:r w:rsidRPr="00A64D4B">
        <w:rPr>
          <w:rFonts w:eastAsia="Times New Roman"/>
        </w:rPr>
        <w:lastRenderedPageBreak/>
        <w:t>Sabaraín</w:t>
      </w:r>
      <w:proofErr w:type="spellEnd"/>
      <w:r w:rsidRPr="00A64D4B">
        <w:rPr>
          <w:rFonts w:eastAsia="Times New Roman"/>
        </w:rPr>
        <w:t xml:space="preserve">. </w:t>
      </w:r>
      <w:proofErr w:type="spellStart"/>
      <w:r w:rsidRPr="00A64D4B">
        <w:rPr>
          <w:rFonts w:eastAsia="Times New Roman"/>
        </w:rPr>
        <w:t>Sabaraín</w:t>
      </w:r>
      <w:proofErr w:type="spellEnd"/>
      <w:r w:rsidRPr="00A64D4B">
        <w:rPr>
          <w:rFonts w:eastAsia="Times New Roman"/>
        </w:rPr>
        <w:t xml:space="preserve"> ya había luchado junto a Nariño en el sur, y había sido capturado en 1816. Al año siguiente lo cubrió el indulto y, libre, se dedicó al espionaje. </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 xml:space="preserve">Las actividades de Policarpa tal vez no hubieran resultado sospechosas para los realistas de no ser por la huida de los hermanos </w:t>
      </w:r>
      <w:proofErr w:type="spellStart"/>
      <w:r w:rsidRPr="00A64D4B">
        <w:rPr>
          <w:rFonts w:eastAsia="Times New Roman"/>
        </w:rPr>
        <w:t>Almeyda</w:t>
      </w:r>
      <w:proofErr w:type="spellEnd"/>
      <w:r w:rsidRPr="00A64D4B">
        <w:rPr>
          <w:rFonts w:eastAsia="Times New Roman"/>
        </w:rPr>
        <w:t xml:space="preserve">, que fueron capturados con documentos que comprometían a La Pola, además de la delación de Facundo Tovar, un ganadero venezolano infiltrado enviado por los españoles (El Tiempo, 2010), quien comprometió más a La Pola y a su prometido Alejo </w:t>
      </w:r>
      <w:proofErr w:type="spellStart"/>
      <w:r w:rsidRPr="00A64D4B">
        <w:rPr>
          <w:rFonts w:eastAsia="Times New Roman"/>
        </w:rPr>
        <w:t>Sabaraín</w:t>
      </w:r>
      <w:proofErr w:type="spellEnd"/>
      <w:r w:rsidRPr="00A64D4B">
        <w:rPr>
          <w:rFonts w:eastAsia="Times New Roman"/>
        </w:rPr>
        <w:t xml:space="preserve"> tras saberse del reclutamiento de soldados para el Ejército Libertador.</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 xml:space="preserve">El arresto de Alejo </w:t>
      </w:r>
      <w:proofErr w:type="spellStart"/>
      <w:r w:rsidRPr="00A64D4B">
        <w:rPr>
          <w:rFonts w:eastAsia="Times New Roman"/>
        </w:rPr>
        <w:t>Sabaraín</w:t>
      </w:r>
      <w:proofErr w:type="spellEnd"/>
      <w:r w:rsidRPr="00A64D4B">
        <w:rPr>
          <w:rFonts w:eastAsia="Times New Roman"/>
        </w:rPr>
        <w:t xml:space="preserve"> Ramos fue el elemento decisivo para la captura de La Pola, pues </w:t>
      </w:r>
      <w:proofErr w:type="spellStart"/>
      <w:r w:rsidRPr="00A64D4B">
        <w:rPr>
          <w:rFonts w:eastAsia="Times New Roman"/>
        </w:rPr>
        <w:t>Sabaraín</w:t>
      </w:r>
      <w:proofErr w:type="spellEnd"/>
      <w:r w:rsidRPr="00A64D4B">
        <w:rPr>
          <w:rFonts w:eastAsia="Times New Roman"/>
        </w:rPr>
        <w:t xml:space="preserve"> tenía una lista de nombres de realistas y de patriotas que La Pola le había entregado. Hasta ese momento, Policarpa se había podido mover hábilmente por la ciudad porque estaba recién llegada y muy poca gente la conocía; además, su juventud e inteligencia le habían permitido desenvolverse con gran capacidad. El sargento Iglesias, el principal agente español en la ciudad, fue comisionado para encontrarla y arrestarla.</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 xml:space="preserve">Cuando el sargento fue a la casa de doña Andrea Ricaurte de Lozano a arrestarla, Policarpa alcanzó a huir, pero tan solo </w:t>
      </w:r>
      <w:proofErr w:type="gramStart"/>
      <w:r w:rsidRPr="00A64D4B">
        <w:rPr>
          <w:rFonts w:eastAsia="Times New Roman"/>
        </w:rPr>
        <w:t>unas cuadras al sur sería</w:t>
      </w:r>
      <w:proofErr w:type="gramEnd"/>
      <w:r w:rsidRPr="00A64D4B">
        <w:rPr>
          <w:rFonts w:eastAsia="Times New Roman"/>
        </w:rPr>
        <w:t xml:space="preserve"> apresada. Fue encerrada en el Colegio Mayor de Nuestra Señora del Rosario, convertido en cárcel (Banco de la República, s.f.). </w:t>
      </w:r>
    </w:p>
    <w:p w:rsidR="004D48F5" w:rsidRDefault="004D48F5"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 xml:space="preserve">El 10 de noviembre de 1817, el Consejo de Guerra la condenó a muerte junto con </w:t>
      </w:r>
      <w:proofErr w:type="spellStart"/>
      <w:r w:rsidRPr="00A64D4B">
        <w:rPr>
          <w:rFonts w:eastAsia="Times New Roman"/>
        </w:rPr>
        <w:t>Sabaraín</w:t>
      </w:r>
      <w:proofErr w:type="spellEnd"/>
      <w:r w:rsidRPr="00A64D4B">
        <w:rPr>
          <w:rFonts w:eastAsia="Times New Roman"/>
        </w:rPr>
        <w:t xml:space="preserve"> y otros patriotas más. Se dice que La Pola maldijo sin descanso a los españoles durante la noche anterior a su ejecución. En un momento se detuvo, cansada y sedienta, y uno de los guardias le ofreció una copa de vino. Ella arrojó el vaso de regreso a sus captores, proclamando «¡No aceptaría ni un vaso de agua de mis enemigos!». La hora y fecha determinadas para el fusilamiento fueron las nueve de la mañana del viernes 14 de noviembre de 1817. La Pola marchó con dos sacerdotes a los lados. En lugar de repetir las oraciones que recitaban los sacerdotes, maldijo a los españoles y predijo su derrota en la revolución venidera. Mientras la conducían a su ejecución, Policarpa animó a los demás prisioneros y reprendió a sus captores. Se ordenó a los condenados ponerse de espaldas porque así deberían morir los traidores al Reino de España, pero ellos solicitaron permiso para ponerse de rodillas, por considerar que esta era una posición más religiosa y apropiada.</w:t>
      </w:r>
    </w:p>
    <w:p w:rsidR="00171AE0"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Quedaron registradas las palabras que pronunció al subir al patíbulo, dirigidas al pueblo que iba a presenciar su ejecución:</w:t>
      </w:r>
    </w:p>
    <w:p w:rsidR="00171AE0" w:rsidRPr="00A64D4B" w:rsidRDefault="00171AE0" w:rsidP="00171AE0">
      <w:pPr>
        <w:jc w:val="both"/>
        <w:rPr>
          <w:rFonts w:eastAsia="Times New Roman"/>
        </w:rPr>
      </w:pPr>
    </w:p>
    <w:p w:rsidR="00171AE0" w:rsidRDefault="00171AE0" w:rsidP="007F3ECC">
      <w:pPr>
        <w:ind w:left="567" w:right="670"/>
        <w:jc w:val="both"/>
        <w:rPr>
          <w:rFonts w:eastAsia="Times New Roman"/>
          <w:i/>
        </w:rPr>
      </w:pPr>
      <w:r w:rsidRPr="00A64D4B">
        <w:rPr>
          <w:rFonts w:eastAsia="Times New Roman"/>
          <w:i/>
        </w:rPr>
        <w:t>“Viles soldados, volved las armas a los enemigos de vuestra patria. ¡Pueblo indolente! ¡Cuán distinta sería hoy vuestra suerte si conocierais el precio de la libertad! Pero no es tarde: ved que ―aunque mujer y joven― me sobra valor para sufrir la muerte y mil muertes más. No olvidéis este ejemplo [...] Miserable pueblo, yo os compadezco. ¡Algún día tendréis más dignidad! [...] Muero por defender los derechos de mi patria.”</w:t>
      </w:r>
    </w:p>
    <w:p w:rsidR="00171AE0" w:rsidRPr="00A64D4B" w:rsidRDefault="00171AE0" w:rsidP="00D520C9">
      <w:pPr>
        <w:ind w:left="6480" w:right="670" w:firstLine="720"/>
        <w:jc w:val="both"/>
        <w:rPr>
          <w:rFonts w:eastAsia="Times New Roman"/>
          <w:i/>
        </w:rPr>
      </w:pPr>
      <w:r w:rsidRPr="00A64D4B">
        <w:rPr>
          <w:rFonts w:eastAsia="Times New Roman"/>
          <w:i/>
        </w:rPr>
        <w:t>Policarpa Salavarrieta</w:t>
      </w:r>
    </w:p>
    <w:p w:rsidR="00D520C9" w:rsidRDefault="00D520C9"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En el momento en que empezaron a disparar, miró a sus verdugos. Su cuerpo no fue expuesto en las calles de Bogotá como los de sus compañeros por ser el de una mujer. Tras ser enterrada en una fosa común en la iglesia de la Veracruz, sus hermanos sacerdotes lo reclamaron y lo guardaron en la iglesia de San Agustín.</w:t>
      </w:r>
    </w:p>
    <w:p w:rsidR="00171AE0"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 xml:space="preserve">Muchos historiadores de este período consideran a Policarpa Salavarrieta la mujer más representativa de la revolución independentista colombiana. En su época, la ejecución de una mujer joven por un crimen político movió a la población y creó una gran resistencia al régimen impuesto por Juan Sámano. Si bien </w:t>
      </w:r>
      <w:r w:rsidRPr="00A64D4B">
        <w:rPr>
          <w:rFonts w:eastAsia="Times New Roman"/>
        </w:rPr>
        <w:lastRenderedPageBreak/>
        <w:t>muchas mujeres fueron igualmente asesinadas durante la ocupación española, el caso de La Pola cautivó la imaginación popular. Su muerte inspiró a poetas, escritores y dramaturgos para inmortalizar su historia, siempre resaltando su valentía y coraje.</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El 9 de noviembre de 1967, en virtud de la Ley 44 del Congreso de la República de Colombia y firmada por el presidente Carlos Lleras Restrepo, declaró en su segundo artículo el día 14 de noviembre «Día de la Mujer Colombiana» en honor de la conmemoración de la muerte de «Nuestra Heroína, Policarpa Salavarrieta».</w:t>
      </w:r>
    </w:p>
    <w:p w:rsidR="00171AE0" w:rsidRPr="00A64D4B" w:rsidRDefault="00171AE0" w:rsidP="00171AE0">
      <w:pPr>
        <w:jc w:val="both"/>
        <w:rPr>
          <w:rFonts w:eastAsia="Times New Roman"/>
        </w:rPr>
      </w:pPr>
    </w:p>
    <w:p w:rsidR="00171AE0" w:rsidRPr="00A64D4B" w:rsidRDefault="00E62DD5" w:rsidP="00171AE0">
      <w:pPr>
        <w:jc w:val="both"/>
        <w:rPr>
          <w:rFonts w:eastAsia="Times New Roman"/>
          <w:b/>
        </w:rPr>
      </w:pPr>
      <w:r>
        <w:rPr>
          <w:rFonts w:eastAsia="Times New Roman"/>
          <w:b/>
        </w:rPr>
        <w:t xml:space="preserve">2.1. </w:t>
      </w:r>
      <w:r w:rsidR="00171AE0" w:rsidRPr="00A64D4B">
        <w:rPr>
          <w:rFonts w:eastAsia="Times New Roman"/>
          <w:b/>
        </w:rPr>
        <w:t>HOMENAJES</w:t>
      </w:r>
    </w:p>
    <w:p w:rsidR="00171AE0" w:rsidRPr="00A64D4B" w:rsidRDefault="00171AE0" w:rsidP="00171AE0">
      <w:pPr>
        <w:jc w:val="both"/>
        <w:rPr>
          <w:rFonts w:eastAsia="Times New Roman"/>
          <w:b/>
        </w:rPr>
      </w:pPr>
    </w:p>
    <w:p w:rsidR="00171AE0" w:rsidRPr="00A64D4B" w:rsidRDefault="00171AE0" w:rsidP="00171AE0">
      <w:pPr>
        <w:jc w:val="both"/>
        <w:rPr>
          <w:rFonts w:eastAsia="Times New Roman"/>
        </w:rPr>
      </w:pPr>
      <w:r w:rsidRPr="00A64D4B">
        <w:rPr>
          <w:rFonts w:eastAsia="Times New Roman"/>
        </w:rPr>
        <w:t xml:space="preserve">La imagen de Policarpa ha sido utilizada varias veces en los billetes y monedas de Colombia. Es una de las únicas personalidades históricas femeninas que ha aparecido en ellos (a pesar de que se han representado otras figuras femeninas, pero son simbólicas o mitológicas como la Justicia, la Libertad, una indígena nativa americana anónima, la protagonista de María, la novela de Jorge </w:t>
      </w:r>
      <w:proofErr w:type="spellStart"/>
      <w:r w:rsidRPr="00A64D4B">
        <w:rPr>
          <w:rFonts w:eastAsia="Times New Roman"/>
        </w:rPr>
        <w:t>Isaacs</w:t>
      </w:r>
      <w:proofErr w:type="spellEnd"/>
      <w:r w:rsidRPr="00A64D4B">
        <w:rPr>
          <w:rFonts w:eastAsia="Times New Roman"/>
        </w:rPr>
        <w:t>). En 2016, cede su lugar en el billete de 10.000 pesos colombianos a la antropóloga Virginia Gutiérrez.</w:t>
      </w:r>
    </w:p>
    <w:p w:rsidR="00171AE0" w:rsidRPr="00A64D4B" w:rsidRDefault="00171AE0" w:rsidP="00171AE0">
      <w:pPr>
        <w:jc w:val="both"/>
        <w:rPr>
          <w:rFonts w:eastAsia="Times New Roman"/>
        </w:rPr>
      </w:pPr>
    </w:p>
    <w:p w:rsidR="00171AE0" w:rsidRPr="00A64D4B" w:rsidRDefault="00E62DD5" w:rsidP="00171AE0">
      <w:pPr>
        <w:jc w:val="both"/>
        <w:rPr>
          <w:rFonts w:eastAsia="Times New Roman"/>
          <w:b/>
        </w:rPr>
      </w:pPr>
      <w:r>
        <w:rPr>
          <w:rFonts w:eastAsia="Times New Roman"/>
          <w:b/>
        </w:rPr>
        <w:t xml:space="preserve">2.2. </w:t>
      </w:r>
      <w:r w:rsidR="00171AE0" w:rsidRPr="00A64D4B">
        <w:rPr>
          <w:rFonts w:eastAsia="Times New Roman"/>
          <w:b/>
        </w:rPr>
        <w:t>EN COLOMBIA</w:t>
      </w:r>
    </w:p>
    <w:p w:rsidR="00171AE0" w:rsidRPr="00A64D4B" w:rsidRDefault="00171AE0" w:rsidP="00171AE0">
      <w:pPr>
        <w:widowControl/>
        <w:numPr>
          <w:ilvl w:val="0"/>
          <w:numId w:val="7"/>
        </w:numPr>
        <w:shd w:val="clear" w:color="auto" w:fill="FFFFFF"/>
        <w:autoSpaceDE/>
        <w:autoSpaceDN/>
        <w:spacing w:before="280" w:after="24"/>
        <w:ind w:left="384"/>
        <w:jc w:val="both"/>
        <w:rPr>
          <w:rFonts w:eastAsia="Times New Roman"/>
        </w:rPr>
      </w:pPr>
      <w:r w:rsidRPr="00A64D4B">
        <w:rPr>
          <w:rFonts w:eastAsia="Times New Roman"/>
        </w:rPr>
        <w:t>Estatua de “La Pola” de Dionisio Cortés, ubicada en la Carrera 2A, esquina Calle 18, en el distrito Las Aguas, en </w:t>
      </w:r>
      <w:hyperlink r:id="rId7">
        <w:r w:rsidRPr="00A64D4B">
          <w:rPr>
            <w:rFonts w:eastAsia="Times New Roman"/>
          </w:rPr>
          <w:t>La Candelaria</w:t>
        </w:r>
      </w:hyperlink>
      <w:r w:rsidRPr="00A64D4B">
        <w:rPr>
          <w:rFonts w:eastAsia="Times New Roman"/>
        </w:rPr>
        <w:t xml:space="preserve"> en Bogotá. </w:t>
      </w:r>
    </w:p>
    <w:p w:rsidR="00171AE0" w:rsidRPr="00A64D4B" w:rsidRDefault="00F913B0" w:rsidP="00171AE0">
      <w:pPr>
        <w:widowControl/>
        <w:numPr>
          <w:ilvl w:val="0"/>
          <w:numId w:val="7"/>
        </w:numPr>
        <w:shd w:val="clear" w:color="auto" w:fill="FFFFFF"/>
        <w:autoSpaceDE/>
        <w:autoSpaceDN/>
        <w:spacing w:after="24"/>
        <w:ind w:left="384"/>
        <w:jc w:val="both"/>
        <w:rPr>
          <w:rFonts w:eastAsia="Times New Roman"/>
        </w:rPr>
      </w:pPr>
      <w:hyperlink r:id="rId8">
        <w:r w:rsidR="00171AE0" w:rsidRPr="00A64D4B">
          <w:rPr>
            <w:rFonts w:eastAsia="Times New Roman"/>
          </w:rPr>
          <w:t>Policarpa</w:t>
        </w:r>
      </w:hyperlink>
      <w:r w:rsidR="00171AE0" w:rsidRPr="00A64D4B">
        <w:rPr>
          <w:rFonts w:eastAsia="Times New Roman"/>
        </w:rPr>
        <w:t>, municipio del </w:t>
      </w:r>
      <w:hyperlink r:id="rId9">
        <w:r w:rsidR="00171AE0" w:rsidRPr="00A64D4B">
          <w:rPr>
            <w:rFonts w:eastAsia="Times New Roman"/>
          </w:rPr>
          <w:t>departamento de Nariño</w:t>
        </w:r>
      </w:hyperlink>
      <w:r w:rsidR="00171AE0" w:rsidRPr="00A64D4B">
        <w:rPr>
          <w:rFonts w:eastAsia="Times New Roman"/>
        </w:rPr>
        <w:t>.</w:t>
      </w:r>
    </w:p>
    <w:p w:rsidR="00171AE0" w:rsidRPr="00A64D4B" w:rsidRDefault="00F913B0" w:rsidP="00171AE0">
      <w:pPr>
        <w:widowControl/>
        <w:numPr>
          <w:ilvl w:val="0"/>
          <w:numId w:val="7"/>
        </w:numPr>
        <w:shd w:val="clear" w:color="auto" w:fill="FFFFFF"/>
        <w:autoSpaceDE/>
        <w:autoSpaceDN/>
        <w:spacing w:after="24"/>
        <w:ind w:left="384"/>
        <w:jc w:val="both"/>
        <w:rPr>
          <w:rFonts w:eastAsia="Times New Roman"/>
        </w:rPr>
      </w:pPr>
      <w:hyperlink r:id="rId10">
        <w:r w:rsidR="00171AE0" w:rsidRPr="00A64D4B">
          <w:rPr>
            <w:rFonts w:eastAsia="Times New Roman"/>
          </w:rPr>
          <w:t>Policarpa</w:t>
        </w:r>
      </w:hyperlink>
      <w:r w:rsidR="00171AE0" w:rsidRPr="00A64D4B">
        <w:rPr>
          <w:rFonts w:eastAsia="Times New Roman"/>
        </w:rPr>
        <w:t>, un barrio de la localidad </w:t>
      </w:r>
      <w:hyperlink r:id="rId11">
        <w:r w:rsidR="00171AE0" w:rsidRPr="00A64D4B">
          <w:rPr>
            <w:rFonts w:eastAsia="Times New Roman"/>
          </w:rPr>
          <w:t>Antonio Nariño</w:t>
        </w:r>
      </w:hyperlink>
      <w:r w:rsidR="00171AE0" w:rsidRPr="00A64D4B">
        <w:rPr>
          <w:rFonts w:eastAsia="Times New Roman"/>
        </w:rPr>
        <w:t> de Bogotá y una estación del Sistema de Transporte masivo de </w:t>
      </w:r>
      <w:hyperlink r:id="rId12">
        <w:r w:rsidR="00171AE0" w:rsidRPr="00A64D4B">
          <w:rPr>
            <w:rFonts w:eastAsia="Times New Roman"/>
          </w:rPr>
          <w:t>Bogotá</w:t>
        </w:r>
      </w:hyperlink>
      <w:r w:rsidR="00171AE0" w:rsidRPr="00A64D4B">
        <w:rPr>
          <w:rFonts w:eastAsia="Times New Roman"/>
        </w:rPr>
        <w:t>, </w:t>
      </w:r>
      <w:proofErr w:type="spellStart"/>
      <w:r w:rsidR="00A72A29">
        <w:fldChar w:fldCharType="begin"/>
      </w:r>
      <w:r w:rsidR="00A72A29">
        <w:instrText xml:space="preserve"> HYPERLINK "https://es.wikipedia.org/wiki/TransMilenio" \h </w:instrText>
      </w:r>
      <w:r w:rsidR="00A72A29">
        <w:fldChar w:fldCharType="separate"/>
      </w:r>
      <w:r w:rsidR="00171AE0" w:rsidRPr="00A64D4B">
        <w:rPr>
          <w:rFonts w:eastAsia="Times New Roman"/>
        </w:rPr>
        <w:t>TransMilenio</w:t>
      </w:r>
      <w:proofErr w:type="spellEnd"/>
      <w:r w:rsidR="00A72A29">
        <w:rPr>
          <w:rFonts w:eastAsia="Times New Roman"/>
        </w:rPr>
        <w:fldChar w:fldCharType="end"/>
      </w:r>
      <w:r w:rsidR="00171AE0" w:rsidRPr="00A64D4B">
        <w:rPr>
          <w:rFonts w:eastAsia="Times New Roman"/>
        </w:rPr>
        <w:t>.</w:t>
      </w:r>
    </w:p>
    <w:p w:rsidR="00171AE0" w:rsidRPr="00A64D4B" w:rsidRDefault="00171AE0" w:rsidP="00171AE0">
      <w:pPr>
        <w:widowControl/>
        <w:numPr>
          <w:ilvl w:val="0"/>
          <w:numId w:val="7"/>
        </w:numPr>
        <w:shd w:val="clear" w:color="auto" w:fill="FFFFFF"/>
        <w:autoSpaceDE/>
        <w:autoSpaceDN/>
        <w:spacing w:after="24"/>
        <w:ind w:left="384"/>
        <w:jc w:val="both"/>
        <w:rPr>
          <w:rFonts w:eastAsia="Times New Roman"/>
        </w:rPr>
      </w:pPr>
      <w:r w:rsidRPr="00A64D4B">
        <w:rPr>
          <w:rFonts w:eastAsia="Times New Roman"/>
        </w:rPr>
        <w:t>Un barrio llamado “La Pola” en </w:t>
      </w:r>
      <w:hyperlink r:id="rId13">
        <w:r w:rsidRPr="00A64D4B">
          <w:rPr>
            <w:rFonts w:eastAsia="Times New Roman"/>
          </w:rPr>
          <w:t>Ibagué</w:t>
        </w:r>
      </w:hyperlink>
      <w:r w:rsidRPr="00A64D4B">
        <w:rPr>
          <w:rFonts w:eastAsia="Times New Roman"/>
        </w:rPr>
        <w:t>, en su honor.</w:t>
      </w:r>
    </w:p>
    <w:p w:rsidR="00171AE0" w:rsidRPr="00A64D4B" w:rsidRDefault="00171AE0" w:rsidP="00171AE0">
      <w:pPr>
        <w:widowControl/>
        <w:numPr>
          <w:ilvl w:val="0"/>
          <w:numId w:val="7"/>
        </w:numPr>
        <w:shd w:val="clear" w:color="auto" w:fill="FFFFFF"/>
        <w:autoSpaceDE/>
        <w:autoSpaceDN/>
        <w:spacing w:after="24"/>
        <w:ind w:left="384"/>
        <w:jc w:val="both"/>
        <w:rPr>
          <w:rFonts w:eastAsia="Times New Roman"/>
        </w:rPr>
      </w:pPr>
      <w:r w:rsidRPr="00A64D4B">
        <w:rPr>
          <w:rFonts w:eastAsia="Times New Roman"/>
        </w:rPr>
        <w:t>Un parque llamado “La Pola” en </w:t>
      </w:r>
      <w:hyperlink r:id="rId14">
        <w:r w:rsidRPr="00A64D4B">
          <w:rPr>
            <w:rFonts w:eastAsia="Times New Roman"/>
          </w:rPr>
          <w:t>La Plata, Huila</w:t>
        </w:r>
      </w:hyperlink>
      <w:r w:rsidRPr="00A64D4B">
        <w:rPr>
          <w:rFonts w:eastAsia="Times New Roman"/>
        </w:rPr>
        <w:t> en su honor.</w:t>
      </w:r>
    </w:p>
    <w:p w:rsidR="00171AE0" w:rsidRPr="00A64D4B" w:rsidRDefault="00171AE0" w:rsidP="00171AE0">
      <w:pPr>
        <w:widowControl/>
        <w:numPr>
          <w:ilvl w:val="0"/>
          <w:numId w:val="7"/>
        </w:numPr>
        <w:shd w:val="clear" w:color="auto" w:fill="FFFFFF"/>
        <w:autoSpaceDE/>
        <w:autoSpaceDN/>
        <w:spacing w:after="24"/>
        <w:ind w:left="384"/>
        <w:jc w:val="both"/>
        <w:rPr>
          <w:rFonts w:eastAsia="Times New Roman"/>
        </w:rPr>
      </w:pPr>
      <w:r w:rsidRPr="00A64D4B">
        <w:rPr>
          <w:rFonts w:eastAsia="Times New Roman"/>
        </w:rPr>
        <w:t>Un parque llamado "La Pola" en el municipio de Ipiales, Nariño en su honor.</w:t>
      </w:r>
    </w:p>
    <w:p w:rsidR="00171AE0" w:rsidRPr="00A64D4B" w:rsidRDefault="00171AE0" w:rsidP="00171AE0">
      <w:pPr>
        <w:widowControl/>
        <w:numPr>
          <w:ilvl w:val="0"/>
          <w:numId w:val="7"/>
        </w:numPr>
        <w:shd w:val="clear" w:color="auto" w:fill="FFFFFF"/>
        <w:autoSpaceDE/>
        <w:autoSpaceDN/>
        <w:spacing w:after="24"/>
        <w:ind w:left="384"/>
        <w:jc w:val="both"/>
        <w:rPr>
          <w:rFonts w:eastAsia="Times New Roman"/>
        </w:rPr>
      </w:pPr>
      <w:r w:rsidRPr="00A64D4B">
        <w:rPr>
          <w:rFonts w:eastAsia="Times New Roman"/>
        </w:rPr>
        <w:t>Un barrio y un colegio: la Institución Educativa Policarpa Salavarrieta, en el sur de </w:t>
      </w:r>
      <w:hyperlink r:id="rId15">
        <w:r w:rsidRPr="00A64D4B">
          <w:rPr>
            <w:rFonts w:eastAsia="Times New Roman"/>
          </w:rPr>
          <w:t>Montería</w:t>
        </w:r>
      </w:hyperlink>
      <w:r w:rsidRPr="00A64D4B">
        <w:rPr>
          <w:rFonts w:eastAsia="Times New Roman"/>
        </w:rPr>
        <w:t>.</w:t>
      </w:r>
    </w:p>
    <w:p w:rsidR="00171AE0" w:rsidRPr="00A64D4B" w:rsidRDefault="00171AE0" w:rsidP="00171AE0">
      <w:pPr>
        <w:widowControl/>
        <w:numPr>
          <w:ilvl w:val="0"/>
          <w:numId w:val="7"/>
        </w:numPr>
        <w:shd w:val="clear" w:color="auto" w:fill="FFFFFF"/>
        <w:autoSpaceDE/>
        <w:autoSpaceDN/>
        <w:spacing w:after="24"/>
        <w:ind w:left="384"/>
        <w:jc w:val="both"/>
        <w:rPr>
          <w:rFonts w:eastAsia="Times New Roman"/>
        </w:rPr>
      </w:pPr>
      <w:r w:rsidRPr="00A64D4B">
        <w:rPr>
          <w:rFonts w:eastAsia="Times New Roman"/>
          <w:highlight w:val="white"/>
        </w:rPr>
        <w:t>Policarpa Salavarrieta estuvo plasmada en la moneda de 5 pesos de 1980 a 1988, y en el billete de 10.000 pesos colombianos, impreso desde 1995 hasta 2016.</w:t>
      </w:r>
    </w:p>
    <w:p w:rsidR="00171AE0" w:rsidRPr="00A64D4B" w:rsidRDefault="00171AE0" w:rsidP="00171AE0">
      <w:pPr>
        <w:widowControl/>
        <w:numPr>
          <w:ilvl w:val="0"/>
          <w:numId w:val="7"/>
        </w:numPr>
        <w:shd w:val="clear" w:color="auto" w:fill="FFFFFF"/>
        <w:autoSpaceDE/>
        <w:autoSpaceDN/>
        <w:spacing w:after="24"/>
        <w:ind w:left="384"/>
        <w:jc w:val="both"/>
        <w:rPr>
          <w:rFonts w:eastAsia="Times New Roman"/>
        </w:rPr>
      </w:pPr>
      <w:r w:rsidRPr="00A64D4B">
        <w:rPr>
          <w:rFonts w:eastAsia="Times New Roman"/>
        </w:rPr>
        <w:t>Escultura de Policarpa Salavarrieta en Chiquinquirá (Boyacá).</w:t>
      </w:r>
    </w:p>
    <w:p w:rsidR="00E62DD5" w:rsidRDefault="00E62DD5" w:rsidP="00171AE0">
      <w:pPr>
        <w:shd w:val="clear" w:color="auto" w:fill="FFFFFF"/>
        <w:spacing w:after="24"/>
        <w:jc w:val="both"/>
        <w:rPr>
          <w:rFonts w:eastAsia="Times New Roman"/>
        </w:rPr>
      </w:pPr>
    </w:p>
    <w:p w:rsidR="00171AE0" w:rsidRPr="00A64D4B" w:rsidRDefault="00171AE0" w:rsidP="00171AE0">
      <w:pPr>
        <w:shd w:val="clear" w:color="auto" w:fill="FFFFFF"/>
        <w:spacing w:after="24"/>
        <w:jc w:val="both"/>
        <w:rPr>
          <w:rFonts w:eastAsia="Times New Roman"/>
          <w:b/>
        </w:rPr>
      </w:pPr>
      <w:r w:rsidRPr="00A64D4B">
        <w:rPr>
          <w:rFonts w:eastAsia="Times New Roman"/>
          <w:b/>
        </w:rPr>
        <w:t>Figura 1.</w:t>
      </w:r>
    </w:p>
    <w:p w:rsidR="00171AE0" w:rsidRPr="00A64D4B" w:rsidRDefault="00171AE0" w:rsidP="00171AE0">
      <w:pPr>
        <w:shd w:val="clear" w:color="auto" w:fill="FFFFFF"/>
        <w:spacing w:after="24"/>
        <w:jc w:val="both"/>
        <w:rPr>
          <w:rFonts w:eastAsia="Times New Roman"/>
          <w:i/>
        </w:rPr>
      </w:pPr>
      <w:r w:rsidRPr="00A64D4B">
        <w:rPr>
          <w:rFonts w:eastAsia="Times New Roman"/>
          <w:i/>
        </w:rPr>
        <w:t>Billete de 10.000 pesos. Homenaje conmemorativo a Policarpa Salavarrieta.</w:t>
      </w:r>
    </w:p>
    <w:p w:rsidR="00171AE0" w:rsidRPr="00A64D4B" w:rsidRDefault="00171AE0" w:rsidP="00171AE0">
      <w:pPr>
        <w:shd w:val="clear" w:color="auto" w:fill="FFFFFF"/>
        <w:spacing w:after="24"/>
        <w:jc w:val="center"/>
        <w:rPr>
          <w:rFonts w:eastAsia="Times New Roman"/>
        </w:rPr>
      </w:pPr>
      <w:r w:rsidRPr="00A64D4B">
        <w:rPr>
          <w:rFonts w:eastAsia="Times New Roman"/>
          <w:noProof/>
          <w:lang w:val="es-CO" w:eastAsia="es-CO"/>
        </w:rPr>
        <w:drawing>
          <wp:inline distT="114300" distB="114300" distL="114300" distR="114300" wp14:anchorId="3A408B8C" wp14:editId="59365233">
            <wp:extent cx="3338512" cy="1419225"/>
            <wp:effectExtent l="0" t="0" r="0" b="0"/>
            <wp:docPr id="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a:stretch>
                      <a:fillRect/>
                    </a:stretch>
                  </pic:blipFill>
                  <pic:spPr>
                    <a:xfrm>
                      <a:off x="0" y="0"/>
                      <a:ext cx="3350082" cy="1424144"/>
                    </a:xfrm>
                    <a:prstGeom prst="rect">
                      <a:avLst/>
                    </a:prstGeom>
                    <a:ln/>
                  </pic:spPr>
                </pic:pic>
              </a:graphicData>
            </a:graphic>
          </wp:inline>
        </w:drawing>
      </w:r>
    </w:p>
    <w:p w:rsidR="00171AE0" w:rsidRPr="00A64D4B" w:rsidRDefault="00171AE0" w:rsidP="00171AE0">
      <w:pPr>
        <w:shd w:val="clear" w:color="auto" w:fill="FFFFFF"/>
        <w:spacing w:after="24"/>
        <w:jc w:val="center"/>
        <w:rPr>
          <w:rFonts w:eastAsia="Times New Roman"/>
          <w:sz w:val="16"/>
          <w:szCs w:val="16"/>
        </w:rPr>
      </w:pPr>
      <w:r w:rsidRPr="00A64D4B">
        <w:rPr>
          <w:rFonts w:eastAsia="Times New Roman"/>
          <w:sz w:val="16"/>
          <w:szCs w:val="16"/>
        </w:rPr>
        <w:t>Fuente: Banco de la República (s.f.)</w:t>
      </w:r>
    </w:p>
    <w:p w:rsidR="00171AE0" w:rsidRPr="00A64D4B" w:rsidRDefault="00E62DD5" w:rsidP="00171AE0">
      <w:pPr>
        <w:jc w:val="both"/>
        <w:rPr>
          <w:rFonts w:eastAsia="Times New Roman"/>
          <w:b/>
        </w:rPr>
      </w:pPr>
      <w:r>
        <w:rPr>
          <w:rFonts w:eastAsia="Times New Roman"/>
          <w:b/>
        </w:rPr>
        <w:t xml:space="preserve">2.3. </w:t>
      </w:r>
      <w:r w:rsidR="00171AE0" w:rsidRPr="00A64D4B">
        <w:rPr>
          <w:rFonts w:eastAsia="Times New Roman"/>
          <w:b/>
        </w:rPr>
        <w:t>EN AMÉRICA</w:t>
      </w:r>
    </w:p>
    <w:p w:rsidR="00171AE0" w:rsidRPr="00A64D4B" w:rsidRDefault="00171AE0" w:rsidP="00171AE0">
      <w:pPr>
        <w:jc w:val="both"/>
        <w:rPr>
          <w:rFonts w:eastAsia="Times New Roman"/>
          <w:b/>
        </w:rPr>
      </w:pPr>
    </w:p>
    <w:p w:rsidR="00171AE0" w:rsidRPr="00A64D4B" w:rsidRDefault="00171AE0" w:rsidP="00171AE0">
      <w:pPr>
        <w:widowControl/>
        <w:numPr>
          <w:ilvl w:val="0"/>
          <w:numId w:val="8"/>
        </w:numPr>
        <w:shd w:val="clear" w:color="auto" w:fill="FFFFFF"/>
        <w:autoSpaceDE/>
        <w:autoSpaceDN/>
        <w:ind w:left="384"/>
        <w:jc w:val="both"/>
        <w:rPr>
          <w:rFonts w:eastAsia="Times New Roman"/>
        </w:rPr>
      </w:pPr>
      <w:r w:rsidRPr="00A64D4B">
        <w:rPr>
          <w:rFonts w:eastAsia="Times New Roman"/>
        </w:rPr>
        <w:t>En </w:t>
      </w:r>
      <w:hyperlink r:id="rId17">
        <w:r w:rsidRPr="00A64D4B">
          <w:rPr>
            <w:rFonts w:eastAsia="Times New Roman"/>
          </w:rPr>
          <w:t>Buenos Aires</w:t>
        </w:r>
      </w:hyperlink>
      <w:r w:rsidRPr="00A64D4B">
        <w:rPr>
          <w:rFonts w:eastAsia="Times New Roman"/>
        </w:rPr>
        <w:t>, </w:t>
      </w:r>
      <w:hyperlink r:id="rId18">
        <w:r w:rsidRPr="00A64D4B">
          <w:rPr>
            <w:rFonts w:eastAsia="Times New Roman"/>
          </w:rPr>
          <w:t>Argentina</w:t>
        </w:r>
      </w:hyperlink>
      <w:r w:rsidRPr="00A64D4B">
        <w:rPr>
          <w:rFonts w:eastAsia="Times New Roman"/>
        </w:rPr>
        <w:t xml:space="preserve">, por ordenanza de la municipalidad del 27 de noviembre de 1893, se dio el nombre de “Pola” a una calle que atraviesa los barrios de Villa Lugano, Mataderos y </w:t>
      </w:r>
      <w:proofErr w:type="spellStart"/>
      <w:r w:rsidRPr="00A64D4B">
        <w:rPr>
          <w:rFonts w:eastAsia="Times New Roman"/>
        </w:rPr>
        <w:t>Liniers</w:t>
      </w:r>
      <w:proofErr w:type="spellEnd"/>
      <w:r w:rsidRPr="00A64D4B">
        <w:rPr>
          <w:rFonts w:eastAsia="Times New Roman"/>
        </w:rPr>
        <w:t xml:space="preserve"> y a una estación tranviaria del metro. </w:t>
      </w:r>
    </w:p>
    <w:p w:rsidR="00171AE0" w:rsidRPr="00A64D4B" w:rsidRDefault="00171AE0" w:rsidP="00171AE0">
      <w:pPr>
        <w:widowControl/>
        <w:numPr>
          <w:ilvl w:val="0"/>
          <w:numId w:val="8"/>
        </w:numPr>
        <w:shd w:val="clear" w:color="auto" w:fill="FFFFFF"/>
        <w:autoSpaceDE/>
        <w:autoSpaceDN/>
        <w:ind w:left="384"/>
        <w:jc w:val="both"/>
        <w:rPr>
          <w:rFonts w:eastAsia="Times New Roman"/>
        </w:rPr>
      </w:pPr>
      <w:r w:rsidRPr="00A64D4B">
        <w:rPr>
          <w:rFonts w:eastAsia="Times New Roman"/>
        </w:rPr>
        <w:lastRenderedPageBreak/>
        <w:t>La obra de teatro </w:t>
      </w:r>
      <w:r w:rsidRPr="00A64D4B">
        <w:rPr>
          <w:rFonts w:eastAsia="Times New Roman"/>
          <w:i/>
        </w:rPr>
        <w:t>Pola Salavarrieta, drama histórico en cuatro actos,</w:t>
      </w:r>
      <w:r w:rsidRPr="00A64D4B">
        <w:rPr>
          <w:rFonts w:eastAsia="Times New Roman"/>
        </w:rPr>
        <w:t> del político e historiador argentino </w:t>
      </w:r>
      <w:hyperlink r:id="rId19">
        <w:r w:rsidRPr="00A64D4B">
          <w:rPr>
            <w:rFonts w:eastAsia="Times New Roman"/>
          </w:rPr>
          <w:t>Bartolomé Mitre</w:t>
        </w:r>
      </w:hyperlink>
      <w:r w:rsidRPr="00A64D4B">
        <w:rPr>
          <w:rFonts w:eastAsia="Times New Roman"/>
        </w:rPr>
        <w:t> (1838).</w:t>
      </w:r>
    </w:p>
    <w:p w:rsidR="00171AE0" w:rsidRPr="00A64D4B" w:rsidRDefault="00171AE0" w:rsidP="00171AE0">
      <w:pPr>
        <w:widowControl/>
        <w:numPr>
          <w:ilvl w:val="0"/>
          <w:numId w:val="9"/>
        </w:numPr>
        <w:shd w:val="clear" w:color="auto" w:fill="FFFFFF"/>
        <w:autoSpaceDE/>
        <w:autoSpaceDN/>
        <w:ind w:left="384"/>
        <w:jc w:val="both"/>
        <w:rPr>
          <w:rFonts w:eastAsia="Times New Roman"/>
        </w:rPr>
      </w:pPr>
      <w:r w:rsidRPr="00A64D4B">
        <w:rPr>
          <w:rFonts w:eastAsia="Times New Roman"/>
        </w:rPr>
        <w:t>Himno a La Pola (incluido en el </w:t>
      </w:r>
      <w:r w:rsidRPr="00A64D4B">
        <w:rPr>
          <w:rFonts w:eastAsia="Times New Roman"/>
          <w:i/>
        </w:rPr>
        <w:t>Cancionero argentino</w:t>
      </w:r>
      <w:r w:rsidRPr="00A64D4B">
        <w:rPr>
          <w:rFonts w:eastAsia="Times New Roman"/>
        </w:rPr>
        <w:t xml:space="preserve">) en 1839. </w:t>
      </w:r>
    </w:p>
    <w:p w:rsidR="00171AE0" w:rsidRPr="00A64D4B" w:rsidRDefault="00171AE0" w:rsidP="00171AE0">
      <w:pPr>
        <w:widowControl/>
        <w:numPr>
          <w:ilvl w:val="0"/>
          <w:numId w:val="10"/>
        </w:numPr>
        <w:shd w:val="clear" w:color="auto" w:fill="FFFFFF"/>
        <w:autoSpaceDE/>
        <w:autoSpaceDN/>
        <w:ind w:left="384"/>
        <w:jc w:val="both"/>
        <w:rPr>
          <w:rFonts w:eastAsia="Times New Roman"/>
        </w:rPr>
      </w:pPr>
      <w:r w:rsidRPr="00A64D4B">
        <w:rPr>
          <w:rFonts w:eastAsia="Times New Roman"/>
        </w:rPr>
        <w:t>En 1870, durante el gobierno de </w:t>
      </w:r>
      <w:hyperlink r:id="rId20">
        <w:r w:rsidRPr="00A64D4B">
          <w:rPr>
            <w:rFonts w:eastAsia="Times New Roman"/>
          </w:rPr>
          <w:t>José Balta</w:t>
        </w:r>
      </w:hyperlink>
      <w:r w:rsidRPr="00A64D4B">
        <w:rPr>
          <w:rFonts w:eastAsia="Times New Roman"/>
        </w:rPr>
        <w:t>, se inauguró la estatua de la libertad con la imagen de Policarpa Salavarrieta, en honor a la colonia colombiana de residentes en </w:t>
      </w:r>
      <w:hyperlink r:id="rId21">
        <w:r w:rsidRPr="00A64D4B">
          <w:rPr>
            <w:rFonts w:eastAsia="Times New Roman"/>
          </w:rPr>
          <w:t>Piura</w:t>
        </w:r>
      </w:hyperlink>
      <w:r w:rsidRPr="00A64D4B">
        <w:rPr>
          <w:rFonts w:eastAsia="Times New Roman"/>
        </w:rPr>
        <w:t> (</w:t>
      </w:r>
      <w:hyperlink r:id="rId22">
        <w:r w:rsidRPr="00A64D4B">
          <w:rPr>
            <w:rFonts w:eastAsia="Times New Roman"/>
          </w:rPr>
          <w:t>Perú</w:t>
        </w:r>
      </w:hyperlink>
      <w:r w:rsidRPr="00A64D4B">
        <w:rPr>
          <w:rFonts w:eastAsia="Times New Roman"/>
        </w:rPr>
        <w:t xml:space="preserve">). </w:t>
      </w:r>
    </w:p>
    <w:p w:rsidR="00171AE0" w:rsidRPr="00A64D4B" w:rsidRDefault="00171AE0" w:rsidP="00171AE0">
      <w:pPr>
        <w:widowControl/>
        <w:numPr>
          <w:ilvl w:val="0"/>
          <w:numId w:val="10"/>
        </w:numPr>
        <w:shd w:val="clear" w:color="auto" w:fill="FFFFFF"/>
        <w:autoSpaceDE/>
        <w:autoSpaceDN/>
        <w:ind w:left="384"/>
        <w:jc w:val="both"/>
        <w:rPr>
          <w:rFonts w:eastAsia="Times New Roman"/>
        </w:rPr>
      </w:pPr>
      <w:r w:rsidRPr="00A64D4B">
        <w:rPr>
          <w:rFonts w:eastAsia="Times New Roman"/>
        </w:rPr>
        <w:t>En 1944, la dramaturga </w:t>
      </w:r>
      <w:hyperlink r:id="rId23">
        <w:r w:rsidRPr="00A64D4B">
          <w:rPr>
            <w:rFonts w:eastAsia="Times New Roman"/>
          </w:rPr>
          <w:t>uruguaya</w:t>
        </w:r>
      </w:hyperlink>
      <w:r w:rsidRPr="00A64D4B">
        <w:rPr>
          <w:rFonts w:eastAsia="Times New Roman"/>
        </w:rPr>
        <w:t> </w:t>
      </w:r>
      <w:hyperlink r:id="rId24">
        <w:r w:rsidRPr="00A64D4B">
          <w:rPr>
            <w:rFonts w:eastAsia="Times New Roman"/>
          </w:rPr>
          <w:t>Sarah Bollo</w:t>
        </w:r>
      </w:hyperlink>
      <w:r w:rsidRPr="00A64D4B">
        <w:rPr>
          <w:rFonts w:eastAsia="Times New Roman"/>
        </w:rPr>
        <w:t> llevó a escena la tragedia histórica titulada </w:t>
      </w:r>
      <w:r w:rsidRPr="00A64D4B">
        <w:rPr>
          <w:rFonts w:eastAsia="Times New Roman"/>
          <w:i/>
        </w:rPr>
        <w:t>Pola Salavarrieta.</w:t>
      </w:r>
    </w:p>
    <w:p w:rsidR="00171AE0" w:rsidRPr="00A64D4B" w:rsidRDefault="00171AE0" w:rsidP="00171AE0">
      <w:pPr>
        <w:widowControl/>
        <w:numPr>
          <w:ilvl w:val="0"/>
          <w:numId w:val="10"/>
        </w:numPr>
        <w:shd w:val="clear" w:color="auto" w:fill="FFFFFF"/>
        <w:autoSpaceDE/>
        <w:autoSpaceDN/>
        <w:ind w:left="384"/>
        <w:jc w:val="both"/>
        <w:rPr>
          <w:rFonts w:eastAsia="Times New Roman"/>
        </w:rPr>
      </w:pPr>
      <w:r w:rsidRPr="00A64D4B">
        <w:rPr>
          <w:rFonts w:eastAsia="Times New Roman"/>
        </w:rPr>
        <w:t>En </w:t>
      </w:r>
      <w:hyperlink r:id="rId25">
        <w:r w:rsidRPr="00A64D4B">
          <w:rPr>
            <w:rFonts w:eastAsia="Times New Roman"/>
          </w:rPr>
          <w:t>Panamá</w:t>
        </w:r>
      </w:hyperlink>
      <w:r w:rsidRPr="00A64D4B">
        <w:rPr>
          <w:rFonts w:eastAsia="Times New Roman"/>
        </w:rPr>
        <w:t> inspiró el mito de </w:t>
      </w:r>
      <w:hyperlink r:id="rId26">
        <w:r w:rsidRPr="00A64D4B">
          <w:rPr>
            <w:rFonts w:eastAsia="Times New Roman"/>
          </w:rPr>
          <w:t>Rufina Alfaro</w:t>
        </w:r>
      </w:hyperlink>
      <w:r w:rsidRPr="00A64D4B">
        <w:rPr>
          <w:rFonts w:eastAsia="Times New Roman"/>
        </w:rPr>
        <w:t>, heroína legendaria vecina de la </w:t>
      </w:r>
      <w:hyperlink r:id="rId27">
        <w:r w:rsidRPr="00A64D4B">
          <w:rPr>
            <w:rFonts w:eastAsia="Times New Roman"/>
          </w:rPr>
          <w:t>Villa de Los Santos</w:t>
        </w:r>
      </w:hyperlink>
      <w:r w:rsidRPr="00A64D4B">
        <w:rPr>
          <w:rFonts w:eastAsia="Times New Roman"/>
        </w:rPr>
        <w:t>, asociada al grito de independencia del istmo de España.</w:t>
      </w:r>
    </w:p>
    <w:p w:rsidR="00A64D4B" w:rsidRDefault="00A64D4B" w:rsidP="00171AE0">
      <w:pPr>
        <w:jc w:val="both"/>
        <w:rPr>
          <w:rFonts w:eastAsia="Times New Roman"/>
          <w:b/>
        </w:rPr>
      </w:pPr>
    </w:p>
    <w:p w:rsidR="00171AE0" w:rsidRPr="00A64D4B" w:rsidRDefault="00E62DD5" w:rsidP="00171AE0">
      <w:pPr>
        <w:jc w:val="both"/>
        <w:rPr>
          <w:rFonts w:eastAsia="Times New Roman"/>
          <w:b/>
        </w:rPr>
      </w:pPr>
      <w:r>
        <w:rPr>
          <w:rFonts w:eastAsia="Times New Roman"/>
          <w:b/>
        </w:rPr>
        <w:t xml:space="preserve">2.4. </w:t>
      </w:r>
      <w:r w:rsidR="00171AE0" w:rsidRPr="00A64D4B">
        <w:rPr>
          <w:rFonts w:eastAsia="Times New Roman"/>
          <w:b/>
        </w:rPr>
        <w:t>MONEDA CONMEMORATIVA</w:t>
      </w:r>
    </w:p>
    <w:p w:rsidR="00171AE0" w:rsidRPr="00A64D4B" w:rsidRDefault="00171AE0" w:rsidP="00171AE0">
      <w:pPr>
        <w:jc w:val="both"/>
        <w:rPr>
          <w:rFonts w:eastAsia="Times New Roman"/>
          <w:b/>
        </w:rPr>
      </w:pPr>
    </w:p>
    <w:p w:rsidR="00171AE0" w:rsidRPr="00A64D4B" w:rsidRDefault="00171AE0" w:rsidP="00171AE0">
      <w:pPr>
        <w:jc w:val="both"/>
        <w:rPr>
          <w:rFonts w:eastAsia="Times New Roman"/>
        </w:rPr>
      </w:pPr>
      <w:r w:rsidRPr="00A64D4B">
        <w:rPr>
          <w:rFonts w:eastAsia="Times New Roman"/>
        </w:rPr>
        <w:t>El 10 de enero de 2023, el Banco de la República pone a disposición del público la moneda conmemorativa del Bicentenario del sacrificio de la heroína nacional Policarpa Salavarrieta.</w:t>
      </w:r>
    </w:p>
    <w:p w:rsidR="00171AE0" w:rsidRPr="00A64D4B" w:rsidRDefault="00171AE0" w:rsidP="00171AE0">
      <w:pPr>
        <w:jc w:val="both"/>
        <w:rPr>
          <w:rFonts w:eastAsia="Times New Roman"/>
          <w:sz w:val="16"/>
          <w:szCs w:val="16"/>
        </w:rPr>
      </w:pPr>
    </w:p>
    <w:p w:rsidR="00171AE0" w:rsidRPr="00A64D4B" w:rsidRDefault="00171AE0" w:rsidP="00171AE0">
      <w:pPr>
        <w:jc w:val="both"/>
        <w:rPr>
          <w:rFonts w:eastAsia="Times New Roman"/>
          <w:b/>
        </w:rPr>
      </w:pPr>
      <w:r w:rsidRPr="00A64D4B">
        <w:rPr>
          <w:rFonts w:eastAsia="Times New Roman"/>
          <w:b/>
        </w:rPr>
        <w:t>Figura 2.</w:t>
      </w:r>
    </w:p>
    <w:p w:rsidR="00171AE0" w:rsidRPr="00A64D4B" w:rsidRDefault="007F3ECC" w:rsidP="00171AE0">
      <w:pPr>
        <w:jc w:val="both"/>
        <w:rPr>
          <w:rFonts w:eastAsia="Times New Roman"/>
          <w:i/>
        </w:rPr>
      </w:pPr>
      <w:r w:rsidRPr="00A64D4B">
        <w:rPr>
          <w:rFonts w:eastAsia="Times New Roman"/>
          <w:noProof/>
          <w:lang w:val="es-CO" w:eastAsia="es-CO"/>
        </w:rPr>
        <w:drawing>
          <wp:anchor distT="0" distB="0" distL="114300" distR="114300" simplePos="0" relativeHeight="251729920" behindDoc="0" locked="0" layoutInCell="1" allowOverlap="1">
            <wp:simplePos x="0" y="0"/>
            <wp:positionH relativeFrom="column">
              <wp:posOffset>1080770</wp:posOffset>
            </wp:positionH>
            <wp:positionV relativeFrom="paragraph">
              <wp:posOffset>307975</wp:posOffset>
            </wp:positionV>
            <wp:extent cx="4057650" cy="1623060"/>
            <wp:effectExtent l="0" t="0" r="0" b="0"/>
            <wp:wrapTopAndBottom/>
            <wp:docPr id="1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8">
                      <a:extLst>
                        <a:ext uri="{28A0092B-C50C-407E-A947-70E740481C1C}">
                          <a14:useLocalDpi xmlns:a14="http://schemas.microsoft.com/office/drawing/2010/main" val="0"/>
                        </a:ext>
                      </a:extLst>
                    </a:blip>
                    <a:srcRect/>
                    <a:stretch>
                      <a:fillRect/>
                    </a:stretch>
                  </pic:blipFill>
                  <pic:spPr>
                    <a:xfrm>
                      <a:off x="0" y="0"/>
                      <a:ext cx="4057650" cy="1623060"/>
                    </a:xfrm>
                    <a:prstGeom prst="rect">
                      <a:avLst/>
                    </a:prstGeom>
                    <a:ln/>
                  </pic:spPr>
                </pic:pic>
              </a:graphicData>
            </a:graphic>
            <wp14:sizeRelH relativeFrom="margin">
              <wp14:pctWidth>0</wp14:pctWidth>
            </wp14:sizeRelH>
            <wp14:sizeRelV relativeFrom="margin">
              <wp14:pctHeight>0</wp14:pctHeight>
            </wp14:sizeRelV>
          </wp:anchor>
        </w:drawing>
      </w:r>
      <w:r w:rsidR="00171AE0" w:rsidRPr="00A64D4B">
        <w:rPr>
          <w:rFonts w:eastAsia="Times New Roman"/>
          <w:i/>
        </w:rPr>
        <w:t>Moneda conmemorativa por el Bicentenario del sacrificio de Policarpa Salavarrieta</w:t>
      </w:r>
    </w:p>
    <w:p w:rsidR="00D520C9" w:rsidRDefault="00D520C9" w:rsidP="00171AE0">
      <w:pPr>
        <w:jc w:val="center"/>
        <w:rPr>
          <w:rFonts w:eastAsia="Times New Roman"/>
          <w:sz w:val="16"/>
          <w:szCs w:val="16"/>
        </w:rPr>
      </w:pPr>
    </w:p>
    <w:p w:rsidR="00171AE0" w:rsidRPr="00A64D4B" w:rsidRDefault="00171AE0" w:rsidP="00171AE0">
      <w:pPr>
        <w:jc w:val="center"/>
        <w:rPr>
          <w:rFonts w:eastAsia="Times New Roman"/>
          <w:sz w:val="16"/>
          <w:szCs w:val="16"/>
        </w:rPr>
      </w:pPr>
      <w:r w:rsidRPr="00A64D4B">
        <w:rPr>
          <w:rFonts w:eastAsia="Times New Roman"/>
          <w:sz w:val="16"/>
          <w:szCs w:val="16"/>
        </w:rPr>
        <w:t>Fuente: Banco de la República (s.f.)</w:t>
      </w:r>
    </w:p>
    <w:p w:rsidR="00171AE0" w:rsidRPr="00A64D4B" w:rsidRDefault="00E62DD5" w:rsidP="00171AE0">
      <w:pPr>
        <w:jc w:val="both"/>
        <w:rPr>
          <w:rFonts w:eastAsia="Times New Roman"/>
          <w:b/>
        </w:rPr>
      </w:pPr>
      <w:r>
        <w:rPr>
          <w:rFonts w:eastAsia="Times New Roman"/>
          <w:b/>
        </w:rPr>
        <w:t xml:space="preserve">2.5. </w:t>
      </w:r>
      <w:r w:rsidR="00171AE0" w:rsidRPr="00A64D4B">
        <w:rPr>
          <w:rFonts w:eastAsia="Times New Roman"/>
          <w:b/>
        </w:rPr>
        <w:t>SELLOS</w:t>
      </w:r>
    </w:p>
    <w:p w:rsidR="00171AE0" w:rsidRPr="00A64D4B" w:rsidRDefault="00171AE0" w:rsidP="00171AE0">
      <w:pPr>
        <w:jc w:val="both"/>
        <w:rPr>
          <w:rFonts w:eastAsia="Times New Roman"/>
          <w:b/>
        </w:rPr>
      </w:pPr>
    </w:p>
    <w:p w:rsidR="00171AE0" w:rsidRPr="00A64D4B" w:rsidRDefault="00171AE0" w:rsidP="00171AE0">
      <w:pPr>
        <w:jc w:val="both"/>
        <w:rPr>
          <w:rFonts w:eastAsia="Times New Roman"/>
        </w:rPr>
      </w:pPr>
      <w:r w:rsidRPr="00A64D4B">
        <w:rPr>
          <w:rFonts w:eastAsia="Times New Roman"/>
        </w:rPr>
        <w:t xml:space="preserve">Para conmemorar el centésimo aniversario de la independencia de Colombia en 1910, el Congreso de la República de Colombia emitió una serie de sellos que presentaban las imágenes de algunos de los Héroes de la Independencia. </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Finalmente, elegir entre tantas mujeres luchadoras y lideresas para realizar un reconocimiento en el Concejo de Bogotá, mediante la elaboración e instalación de un busto dentro de las instalaciones de la Corporación, resulta ser una labor compleja, en el entendido que son muchas las merecedoras de este homenaje. No obstante, aquí se propone destacar a una de las principales lideresas para la historia colombiana y de la ciudad.</w:t>
      </w:r>
    </w:p>
    <w:p w:rsidR="00D520C9" w:rsidRDefault="00D520C9" w:rsidP="00171AE0">
      <w:pPr>
        <w:jc w:val="both"/>
        <w:rPr>
          <w:rFonts w:eastAsia="Times New Roman"/>
          <w:b/>
        </w:rPr>
      </w:pPr>
    </w:p>
    <w:p w:rsidR="00171AE0" w:rsidRPr="00A64D4B" w:rsidRDefault="00E62DD5" w:rsidP="00171AE0">
      <w:pPr>
        <w:jc w:val="both"/>
        <w:rPr>
          <w:rFonts w:eastAsia="Times New Roman"/>
        </w:rPr>
      </w:pPr>
      <w:r>
        <w:rPr>
          <w:rFonts w:eastAsia="Times New Roman"/>
          <w:b/>
        </w:rPr>
        <w:t xml:space="preserve">2.6. </w:t>
      </w:r>
      <w:r w:rsidR="00171AE0" w:rsidRPr="00A64D4B">
        <w:rPr>
          <w:rFonts w:eastAsia="Times New Roman"/>
          <w:b/>
        </w:rPr>
        <w:t>DEFINICIONES</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Para el presente Proyecto de Acuerdo, es conveniente precisar los siguientes términos:</w:t>
      </w:r>
    </w:p>
    <w:p w:rsidR="00171AE0" w:rsidRDefault="00171AE0" w:rsidP="00171AE0">
      <w:pPr>
        <w:jc w:val="both"/>
        <w:rPr>
          <w:rFonts w:eastAsia="Times New Roman"/>
        </w:rPr>
      </w:pPr>
    </w:p>
    <w:p w:rsidR="00171AE0" w:rsidRPr="00A64D4B" w:rsidRDefault="00E62DD5" w:rsidP="00171AE0">
      <w:pPr>
        <w:jc w:val="both"/>
        <w:rPr>
          <w:rFonts w:eastAsia="Times New Roman"/>
          <w:b/>
        </w:rPr>
      </w:pPr>
      <w:r>
        <w:rPr>
          <w:rFonts w:eastAsia="Times New Roman"/>
          <w:b/>
        </w:rPr>
        <w:t xml:space="preserve">2.6.1. </w:t>
      </w:r>
      <w:r w:rsidR="00171AE0" w:rsidRPr="00A64D4B">
        <w:rPr>
          <w:rFonts w:eastAsia="Times New Roman"/>
          <w:b/>
        </w:rPr>
        <w:t>PATRIMONIO CULTURAL DE LA NACIÓN</w:t>
      </w:r>
    </w:p>
    <w:p w:rsidR="00171AE0" w:rsidRPr="00A64D4B" w:rsidRDefault="00171AE0" w:rsidP="00171AE0">
      <w:pPr>
        <w:jc w:val="both"/>
        <w:rPr>
          <w:rFonts w:eastAsia="Times New Roman"/>
          <w:b/>
        </w:rPr>
      </w:pPr>
    </w:p>
    <w:p w:rsidR="00171AE0" w:rsidRPr="00A64D4B" w:rsidRDefault="00171AE0" w:rsidP="00171AE0">
      <w:pPr>
        <w:jc w:val="both"/>
        <w:rPr>
          <w:rFonts w:eastAsia="Times New Roman"/>
        </w:rPr>
      </w:pPr>
      <w:r w:rsidRPr="00A64D4B">
        <w:rPr>
          <w:rFonts w:eastAsia="Times New Roman"/>
        </w:rPr>
        <w:t xml:space="preserve">De acuerdo con el artículo 1 de la Ley 1185 de 2008, que modificó el artículo 4 de la Ley 397 de 1997 (Ley General de Cultural): </w:t>
      </w:r>
    </w:p>
    <w:p w:rsidR="00171AE0" w:rsidRPr="00A64D4B" w:rsidRDefault="00171AE0" w:rsidP="00171AE0">
      <w:pPr>
        <w:jc w:val="both"/>
        <w:rPr>
          <w:rFonts w:eastAsia="Times New Roman"/>
        </w:rPr>
      </w:pPr>
    </w:p>
    <w:p w:rsidR="00171AE0" w:rsidRPr="00A64D4B" w:rsidRDefault="00171AE0" w:rsidP="00171AE0">
      <w:pPr>
        <w:ind w:left="720"/>
        <w:jc w:val="both"/>
        <w:rPr>
          <w:rFonts w:eastAsia="Times New Roman"/>
          <w:i/>
        </w:rPr>
      </w:pPr>
      <w:r w:rsidRPr="00A64D4B">
        <w:rPr>
          <w:rFonts w:eastAsia="Times New Roman"/>
          <w:i/>
        </w:rPr>
        <w:lastRenderedPageBreak/>
        <w:t>“El patrimonio cultural de la Nación está constituido por todos los bienes materiales, las manifestaciones inmateriales, los productos y las representaciones de la cultura que son expresión de la nacionalidad colombiana, tales como la lengua castellana, las lenguas y dialectos de las comunidades indígenas, negras y creoles, la tradición, el conocimiento ancestral, el paisaje cultural, las costumbres y los hábitos, así como los bienes materiales de naturaleza mueble e inmueble a los que se les atribuye, entre otros, especial interés histórico, artístico, científico, estético o simbólico en ámbitos como el plástico, arquitectónico, urbano, arqueológico, lingüístico, sonoro, musical, audiovisual, fílmico, testimonial, documental, literario, bibliográfico, museológico o antropológico”.</w:t>
      </w:r>
    </w:p>
    <w:p w:rsidR="00171AE0" w:rsidRDefault="00171AE0" w:rsidP="00171AE0">
      <w:pPr>
        <w:ind w:left="720"/>
        <w:jc w:val="both"/>
        <w:rPr>
          <w:rFonts w:eastAsia="Times New Roman"/>
          <w:b/>
        </w:rPr>
      </w:pPr>
    </w:p>
    <w:p w:rsidR="00171AE0" w:rsidRPr="00A64D4B" w:rsidRDefault="00E62DD5" w:rsidP="00171AE0">
      <w:pPr>
        <w:jc w:val="both"/>
        <w:rPr>
          <w:rFonts w:eastAsia="Times New Roman"/>
          <w:b/>
        </w:rPr>
      </w:pPr>
      <w:r>
        <w:rPr>
          <w:rFonts w:eastAsia="Times New Roman"/>
          <w:b/>
        </w:rPr>
        <w:t xml:space="preserve">2.6.2. </w:t>
      </w:r>
      <w:r w:rsidR="00171AE0" w:rsidRPr="00A64D4B">
        <w:rPr>
          <w:rFonts w:eastAsia="Times New Roman"/>
          <w:b/>
        </w:rPr>
        <w:t>BIEN DE INTERÉS CULTURAL (BIC)</w:t>
      </w:r>
    </w:p>
    <w:p w:rsidR="00171AE0" w:rsidRPr="00A64D4B" w:rsidRDefault="00171AE0" w:rsidP="00171AE0">
      <w:pPr>
        <w:jc w:val="both"/>
        <w:rPr>
          <w:rFonts w:eastAsia="Times New Roman"/>
          <w:b/>
        </w:rPr>
      </w:pPr>
    </w:p>
    <w:p w:rsidR="00171AE0" w:rsidRPr="00A64D4B" w:rsidRDefault="00171AE0" w:rsidP="00171AE0">
      <w:pPr>
        <w:jc w:val="both"/>
        <w:rPr>
          <w:rFonts w:eastAsia="Times New Roman"/>
        </w:rPr>
      </w:pPr>
      <w:r w:rsidRPr="00A64D4B">
        <w:rPr>
          <w:rFonts w:eastAsia="Times New Roman"/>
        </w:rPr>
        <w:t xml:space="preserve">De igual manera, de acuerdo con el artículo 12 del Decreto 2358 de 2019, que modifica el artículo 2.4.1.10. del Título 1 de la Parte 4 del Libro 2 del Decreto 1080 de 2015, Único Reglamentario del Sector Cultura: </w:t>
      </w:r>
    </w:p>
    <w:p w:rsidR="00171AE0" w:rsidRPr="00A64D4B" w:rsidRDefault="00171AE0" w:rsidP="00171AE0">
      <w:pPr>
        <w:jc w:val="both"/>
        <w:rPr>
          <w:rFonts w:eastAsia="Times New Roman"/>
        </w:rPr>
      </w:pPr>
    </w:p>
    <w:p w:rsidR="00171AE0" w:rsidRPr="00A64D4B" w:rsidRDefault="00171AE0" w:rsidP="00171AE0">
      <w:pPr>
        <w:ind w:left="720"/>
        <w:jc w:val="both"/>
      </w:pPr>
      <w:r w:rsidRPr="00A64D4B">
        <w:rPr>
          <w:rFonts w:eastAsia="Times New Roman"/>
        </w:rPr>
        <w:t>“</w:t>
      </w:r>
      <w:r w:rsidRPr="00A64D4B">
        <w:rPr>
          <w:rFonts w:eastAsia="Times New Roman"/>
          <w:i/>
        </w:rPr>
        <w:t xml:space="preserve">Son bienes de interés cultural BIC, aquellos que por sus valores y criterios representan la identidad nacional, declarados mediante acto administrativo por la entidad competente, quedando sometidos al régimen especial de protección definido en la ley; estos pueden ser de naturaleza mueble, inmueble o paisajes culturales”. </w:t>
      </w:r>
    </w:p>
    <w:p w:rsidR="00171AE0" w:rsidRPr="00A64D4B" w:rsidRDefault="00171AE0" w:rsidP="00171AE0">
      <w:pPr>
        <w:jc w:val="both"/>
        <w:rPr>
          <w:color w:val="FF0000"/>
        </w:rPr>
      </w:pPr>
    </w:p>
    <w:p w:rsidR="007F3ECC" w:rsidRPr="00A64D4B" w:rsidRDefault="00171AE0" w:rsidP="007F3ECC">
      <w:pPr>
        <w:tabs>
          <w:tab w:val="left" w:pos="5103"/>
        </w:tabs>
        <w:jc w:val="both"/>
        <w:rPr>
          <w:rFonts w:eastAsia="Times New Roman"/>
        </w:rPr>
      </w:pPr>
      <w:r w:rsidRPr="00A64D4B">
        <w:rPr>
          <w:rFonts w:eastAsia="Times New Roman"/>
        </w:rPr>
        <w:t>En consonancia con lo anterior, para la UNESCO, el patrimonio cultural está conformado por todos los bienes culturales a los que la sociedad le otorga una importancia a nivel histórico. Este puede ser material (mueble o inmueble) o inmaterial (ver ilustración 2)</w:t>
      </w:r>
    </w:p>
    <w:p w:rsidR="00D43201" w:rsidRDefault="00D43201" w:rsidP="007F3ECC">
      <w:pPr>
        <w:tabs>
          <w:tab w:val="left" w:pos="5103"/>
        </w:tabs>
        <w:jc w:val="both"/>
        <w:rPr>
          <w:rFonts w:eastAsia="Times New Roman"/>
          <w:b/>
        </w:rPr>
      </w:pPr>
    </w:p>
    <w:p w:rsidR="00171AE0" w:rsidRPr="00A64D4B" w:rsidRDefault="00D520C9" w:rsidP="007F3ECC">
      <w:pPr>
        <w:tabs>
          <w:tab w:val="left" w:pos="5103"/>
        </w:tabs>
        <w:jc w:val="both"/>
        <w:rPr>
          <w:rFonts w:eastAsia="Times New Roman"/>
        </w:rPr>
      </w:pPr>
      <w:r w:rsidRPr="00A64D4B">
        <w:rPr>
          <w:rFonts w:eastAsia="Times New Roman"/>
          <w:noProof/>
          <w:lang w:val="es-CO" w:eastAsia="es-CO"/>
        </w:rPr>
        <w:drawing>
          <wp:anchor distT="0" distB="0" distL="114300" distR="114300" simplePos="0" relativeHeight="251730944" behindDoc="1" locked="0" layoutInCell="1" allowOverlap="1">
            <wp:simplePos x="0" y="0"/>
            <wp:positionH relativeFrom="margin">
              <wp:posOffset>4763</wp:posOffset>
            </wp:positionH>
            <wp:positionV relativeFrom="paragraph">
              <wp:posOffset>5715</wp:posOffset>
            </wp:positionV>
            <wp:extent cx="5576887" cy="1847850"/>
            <wp:effectExtent l="0" t="0" r="5080" b="0"/>
            <wp:wrapNone/>
            <wp:docPr id="1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9">
                      <a:extLst>
                        <a:ext uri="{28A0092B-C50C-407E-A947-70E740481C1C}">
                          <a14:useLocalDpi xmlns:a14="http://schemas.microsoft.com/office/drawing/2010/main" val="0"/>
                        </a:ext>
                      </a:extLst>
                    </a:blip>
                    <a:srcRect t="15511" b="20666"/>
                    <a:stretch>
                      <a:fillRect/>
                    </a:stretch>
                  </pic:blipFill>
                  <pic:spPr>
                    <a:xfrm>
                      <a:off x="0" y="0"/>
                      <a:ext cx="5590934" cy="1852504"/>
                    </a:xfrm>
                    <a:prstGeom prst="rect">
                      <a:avLst/>
                    </a:prstGeom>
                    <a:ln/>
                  </pic:spPr>
                </pic:pic>
              </a:graphicData>
            </a:graphic>
            <wp14:sizeRelH relativeFrom="margin">
              <wp14:pctWidth>0</wp14:pctWidth>
            </wp14:sizeRelH>
            <wp14:sizeRelV relativeFrom="margin">
              <wp14:pctHeight>0</wp14:pctHeight>
            </wp14:sizeRelV>
          </wp:anchor>
        </w:drawing>
      </w:r>
      <w:r w:rsidR="00171AE0" w:rsidRPr="00A64D4B">
        <w:rPr>
          <w:rFonts w:eastAsia="Times New Roman"/>
          <w:b/>
        </w:rPr>
        <w:t xml:space="preserve">Figura 3. </w:t>
      </w:r>
    </w:p>
    <w:p w:rsidR="00171AE0" w:rsidRPr="00A64D4B" w:rsidRDefault="00171AE0" w:rsidP="00A64D4B">
      <w:pPr>
        <w:keepNext/>
        <w:spacing w:after="200"/>
        <w:rPr>
          <w:rFonts w:eastAsia="Times New Roman"/>
          <w:i/>
        </w:rPr>
      </w:pPr>
      <w:r w:rsidRPr="00A64D4B">
        <w:rPr>
          <w:rFonts w:eastAsia="Times New Roman"/>
          <w:i/>
        </w:rPr>
        <w:t>Clasificación del patrimonio cultural</w:t>
      </w:r>
    </w:p>
    <w:p w:rsidR="00E62DD5" w:rsidRDefault="00E62DD5"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D520C9" w:rsidRDefault="00D520C9" w:rsidP="00171AE0">
      <w:pPr>
        <w:tabs>
          <w:tab w:val="left" w:pos="5103"/>
        </w:tabs>
        <w:jc w:val="center"/>
        <w:rPr>
          <w:rFonts w:eastAsia="Times New Roman"/>
          <w:sz w:val="16"/>
          <w:szCs w:val="16"/>
        </w:rPr>
      </w:pPr>
    </w:p>
    <w:p w:rsidR="00171AE0" w:rsidRPr="00A64D4B" w:rsidRDefault="00171AE0" w:rsidP="00171AE0">
      <w:pPr>
        <w:tabs>
          <w:tab w:val="left" w:pos="5103"/>
        </w:tabs>
        <w:jc w:val="center"/>
        <w:rPr>
          <w:rFonts w:eastAsia="Times New Roman"/>
          <w:sz w:val="16"/>
          <w:szCs w:val="16"/>
        </w:rPr>
      </w:pPr>
      <w:r w:rsidRPr="00A64D4B">
        <w:rPr>
          <w:rFonts w:eastAsia="Times New Roman"/>
          <w:sz w:val="16"/>
          <w:szCs w:val="16"/>
        </w:rPr>
        <w:t>Fuente: Barahona y Cobos (2022)</w:t>
      </w:r>
    </w:p>
    <w:p w:rsidR="00171AE0" w:rsidRPr="00A64D4B" w:rsidRDefault="00171AE0" w:rsidP="00171AE0">
      <w:pPr>
        <w:jc w:val="both"/>
        <w:rPr>
          <w:color w:val="FF0000"/>
          <w:sz w:val="16"/>
          <w:szCs w:val="16"/>
        </w:rPr>
      </w:pPr>
    </w:p>
    <w:p w:rsidR="00171AE0" w:rsidRPr="00A64D4B" w:rsidRDefault="00171AE0" w:rsidP="00171AE0">
      <w:pPr>
        <w:jc w:val="both"/>
        <w:rPr>
          <w:rFonts w:eastAsia="Times New Roman"/>
        </w:rPr>
      </w:pPr>
      <w:r w:rsidRPr="00A64D4B">
        <w:rPr>
          <w:rFonts w:eastAsia="Times New Roman"/>
        </w:rPr>
        <w:t xml:space="preserve">En respuesta a derecho de petición elevado a la Secretaría Distrital de Cultura, Recreación y Deporte con radicado del Concejo de Bogotá No. 2025EE6747, la Secretaría señaló que el reconocimiento oficial de la trayectoria de una personalidad pública con significación cultural relevante, se materializa o consolida por medio de una declaratoria como Bien de Interés Cultural (BIC) de patrimonio material del elemento que conmemora a dicho individuo o los eventos asociados a éste (esculturas, placas, plazoletas, etc.) (Secretaría de Cultura, Recreación y Deporte, 2025) </w:t>
      </w:r>
    </w:p>
    <w:p w:rsidR="00171AE0"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 xml:space="preserve">Dicha entidad también expresó, frente a la pregunta de políticas o lineamientos existentes que regulen la instalación de bustos de personajes históricos en espacios públicos o institucionales, que el Decreto Distrital 149 de 2019 estableció la conformación y funcionamiento del Comité Distrital del Espacio público, la operación de la Ventanilla Única de Implantaciones Artísticas en el Espacio Público VIARTE y el trámite para la implantación, traslado y donación de expresiones artísticas de carácter permanente </w:t>
      </w:r>
      <w:r w:rsidRPr="00A64D4B">
        <w:rPr>
          <w:rFonts w:eastAsia="Times New Roman"/>
        </w:rPr>
        <w:lastRenderedPageBreak/>
        <w:t>en el espacio público de la ciudad. Es la Secretaría Distrital de Cultura, Recreación y Deporte la encargada de expedir el acto administrativo que adopta la decisión (Secretaría de Cultura, Recreación y Deporte, 2025).</w:t>
      </w:r>
    </w:p>
    <w:p w:rsidR="00171AE0" w:rsidRPr="00A64D4B" w:rsidRDefault="00171AE0" w:rsidP="00171AE0">
      <w:pPr>
        <w:jc w:val="both"/>
        <w:rPr>
          <w:rFonts w:eastAsia="Times New Roman"/>
        </w:rPr>
      </w:pPr>
    </w:p>
    <w:p w:rsidR="00171AE0" w:rsidRPr="00A64D4B" w:rsidRDefault="00171AE0" w:rsidP="00171AE0">
      <w:pPr>
        <w:jc w:val="both"/>
        <w:rPr>
          <w:rFonts w:eastAsia="Times New Roman"/>
        </w:rPr>
      </w:pPr>
      <w:r w:rsidRPr="00A64D4B">
        <w:rPr>
          <w:rFonts w:eastAsia="Times New Roman"/>
        </w:rPr>
        <w:t>Ahora bien, la entidad también precisó que la declaratoria de monumentos como bienes de interés cultural se encuentra reglamentada por la Ley General de Cultura, así como sus decretos reglamentarios. Para el caso de Bogotá, a través del Decreto 522 de 2023 se asigna a la Secretaría Distrital de Cultura, Recreación y Deporte, entre otras, las funciones de realizar la inclusión en la Lista Indicativa de Candidatos a Bienes de Interés Cultural del ámbito distrital de los bienes que podrían llegar a ser declarados como tal; así como efectuar la declaratoria o revocatoria de los bienes de interés cultural del ámbito distrital (Secretaría de Cultura, Recreación y Deporte, 2025).</w:t>
      </w:r>
    </w:p>
    <w:p w:rsidR="00171AE0" w:rsidRDefault="00171AE0" w:rsidP="00171AE0">
      <w:pPr>
        <w:pStyle w:val="Ttulo1"/>
        <w:tabs>
          <w:tab w:val="left" w:pos="2141"/>
        </w:tabs>
        <w:spacing w:before="1"/>
        <w:ind w:left="0"/>
        <w:jc w:val="both"/>
        <w:rPr>
          <w:spacing w:val="-2"/>
          <w:sz w:val="22"/>
          <w:szCs w:val="22"/>
        </w:rPr>
      </w:pPr>
    </w:p>
    <w:p w:rsidR="00C51DFB" w:rsidRPr="00A64D4B" w:rsidRDefault="00824F53" w:rsidP="00A64D4B">
      <w:pPr>
        <w:pStyle w:val="Ttulo1"/>
        <w:numPr>
          <w:ilvl w:val="0"/>
          <w:numId w:val="13"/>
        </w:numPr>
        <w:tabs>
          <w:tab w:val="left" w:pos="733"/>
        </w:tabs>
        <w:spacing w:before="1"/>
        <w:rPr>
          <w:sz w:val="22"/>
          <w:szCs w:val="22"/>
        </w:rPr>
      </w:pPr>
      <w:r w:rsidRPr="00A64D4B">
        <w:rPr>
          <w:sz w:val="22"/>
          <w:szCs w:val="22"/>
        </w:rPr>
        <w:t>MARCO</w:t>
      </w:r>
      <w:r w:rsidRPr="00A64D4B">
        <w:rPr>
          <w:spacing w:val="-9"/>
          <w:sz w:val="22"/>
          <w:szCs w:val="22"/>
        </w:rPr>
        <w:t xml:space="preserve"> </w:t>
      </w:r>
      <w:r w:rsidRPr="00A64D4B">
        <w:rPr>
          <w:sz w:val="22"/>
          <w:szCs w:val="22"/>
        </w:rPr>
        <w:t>CONSTITUCIONAL</w:t>
      </w:r>
      <w:r w:rsidRPr="00A64D4B">
        <w:rPr>
          <w:spacing w:val="-10"/>
          <w:sz w:val="22"/>
          <w:szCs w:val="22"/>
        </w:rPr>
        <w:t xml:space="preserve"> </w:t>
      </w:r>
      <w:r w:rsidRPr="00A64D4B">
        <w:rPr>
          <w:sz w:val="22"/>
          <w:szCs w:val="22"/>
        </w:rPr>
        <w:t>Y</w:t>
      </w:r>
      <w:r w:rsidRPr="00A64D4B">
        <w:rPr>
          <w:spacing w:val="-9"/>
          <w:sz w:val="22"/>
          <w:szCs w:val="22"/>
        </w:rPr>
        <w:t xml:space="preserve"> </w:t>
      </w:r>
      <w:r w:rsidRPr="00A64D4B">
        <w:rPr>
          <w:sz w:val="22"/>
          <w:szCs w:val="22"/>
        </w:rPr>
        <w:t>LEGAL:</w:t>
      </w:r>
      <w:r w:rsidRPr="00A64D4B">
        <w:rPr>
          <w:spacing w:val="-12"/>
          <w:sz w:val="22"/>
          <w:szCs w:val="22"/>
        </w:rPr>
        <w:t xml:space="preserve"> </w:t>
      </w:r>
      <w:r w:rsidRPr="00A64D4B">
        <w:rPr>
          <w:sz w:val="22"/>
          <w:szCs w:val="22"/>
        </w:rPr>
        <w:t>SUSTENTO</w:t>
      </w:r>
      <w:r w:rsidRPr="00A64D4B">
        <w:rPr>
          <w:spacing w:val="-11"/>
          <w:sz w:val="22"/>
          <w:szCs w:val="22"/>
        </w:rPr>
        <w:t xml:space="preserve"> </w:t>
      </w:r>
      <w:r w:rsidRPr="00A64D4B">
        <w:rPr>
          <w:sz w:val="22"/>
          <w:szCs w:val="22"/>
        </w:rPr>
        <w:t>JURÍDICO</w:t>
      </w:r>
      <w:r w:rsidRPr="00A64D4B">
        <w:rPr>
          <w:spacing w:val="-8"/>
          <w:sz w:val="22"/>
          <w:szCs w:val="22"/>
        </w:rPr>
        <w:t xml:space="preserve"> </w:t>
      </w:r>
      <w:r w:rsidRPr="00A64D4B">
        <w:rPr>
          <w:sz w:val="22"/>
          <w:szCs w:val="22"/>
        </w:rPr>
        <w:t>DE</w:t>
      </w:r>
      <w:r w:rsidRPr="00A64D4B">
        <w:rPr>
          <w:spacing w:val="-9"/>
          <w:sz w:val="22"/>
          <w:szCs w:val="22"/>
        </w:rPr>
        <w:t xml:space="preserve"> </w:t>
      </w:r>
      <w:r w:rsidRPr="00A64D4B">
        <w:rPr>
          <w:sz w:val="22"/>
          <w:szCs w:val="22"/>
        </w:rPr>
        <w:t>LA</w:t>
      </w:r>
      <w:r w:rsidRPr="00A64D4B">
        <w:rPr>
          <w:spacing w:val="-11"/>
          <w:sz w:val="22"/>
          <w:szCs w:val="22"/>
        </w:rPr>
        <w:t xml:space="preserve"> </w:t>
      </w:r>
      <w:r w:rsidRPr="00A64D4B">
        <w:rPr>
          <w:spacing w:val="-2"/>
          <w:sz w:val="22"/>
          <w:szCs w:val="22"/>
        </w:rPr>
        <w:t>INICIATIVA</w:t>
      </w:r>
    </w:p>
    <w:p w:rsidR="00C51DFB" w:rsidRPr="00A64D4B" w:rsidRDefault="00C51DFB" w:rsidP="005B6581">
      <w:pPr>
        <w:pStyle w:val="Textoindependiente"/>
        <w:spacing w:before="2"/>
        <w:jc w:val="both"/>
        <w:rPr>
          <w:sz w:val="22"/>
          <w:szCs w:val="22"/>
        </w:rPr>
      </w:pPr>
    </w:p>
    <w:p w:rsidR="00A64D4B" w:rsidRPr="00A64D4B" w:rsidRDefault="00A64D4B" w:rsidP="00A64D4B">
      <w:pPr>
        <w:jc w:val="both"/>
        <w:rPr>
          <w:rFonts w:eastAsia="Times New Roman"/>
        </w:rPr>
      </w:pPr>
      <w:r w:rsidRPr="00A64D4B">
        <w:rPr>
          <w:rFonts w:eastAsia="Times New Roman"/>
        </w:rPr>
        <w:t>La actual iniciativa como fórmula de reconocimiento y reivindicación del papel de la mujer tiene asidero en la siguiente normativa.</w:t>
      </w:r>
    </w:p>
    <w:p w:rsidR="00A64D4B" w:rsidRDefault="00A64D4B" w:rsidP="00A64D4B">
      <w:pPr>
        <w:rPr>
          <w:rFonts w:eastAsia="Times New Roman"/>
        </w:rPr>
      </w:pPr>
    </w:p>
    <w:p w:rsidR="00A64D4B" w:rsidRPr="00A64D4B" w:rsidRDefault="00A64D4B" w:rsidP="00A64D4B">
      <w:pPr>
        <w:jc w:val="both"/>
        <w:rPr>
          <w:rFonts w:eastAsia="Times New Roman"/>
        </w:rPr>
      </w:pPr>
      <w:r>
        <w:rPr>
          <w:rFonts w:eastAsia="Times New Roman"/>
          <w:b/>
        </w:rPr>
        <w:t>3</w:t>
      </w:r>
      <w:r w:rsidRPr="00A64D4B">
        <w:rPr>
          <w:rFonts w:eastAsia="Times New Roman"/>
          <w:b/>
        </w:rPr>
        <w:t>.1. MARCO INTERNACIONAL</w:t>
      </w:r>
    </w:p>
    <w:p w:rsidR="00A64D4B" w:rsidRPr="00A64D4B" w:rsidRDefault="00A64D4B" w:rsidP="00A64D4B">
      <w:pPr>
        <w:rPr>
          <w:rFonts w:eastAsia="Times New Roman"/>
        </w:rPr>
      </w:pPr>
    </w:p>
    <w:p w:rsidR="00A64D4B" w:rsidRPr="00A64D4B" w:rsidRDefault="00A64D4B" w:rsidP="00A64D4B">
      <w:pPr>
        <w:jc w:val="both"/>
        <w:rPr>
          <w:rFonts w:eastAsia="Times New Roman"/>
        </w:rPr>
      </w:pPr>
      <w:r>
        <w:rPr>
          <w:rFonts w:eastAsia="Times New Roman"/>
          <w:b/>
        </w:rPr>
        <w:t>3</w:t>
      </w:r>
      <w:r w:rsidRPr="00A64D4B">
        <w:rPr>
          <w:rFonts w:eastAsia="Times New Roman"/>
          <w:b/>
        </w:rPr>
        <w:t>.1.1. Objetivos de Desarrollo Sostenible</w:t>
      </w:r>
    </w:p>
    <w:p w:rsidR="00A64D4B" w:rsidRPr="00A64D4B" w:rsidRDefault="00A64D4B" w:rsidP="00A64D4B">
      <w:pPr>
        <w:rPr>
          <w:rFonts w:eastAsia="Times New Roman"/>
        </w:rPr>
      </w:pPr>
    </w:p>
    <w:p w:rsidR="00A64D4B" w:rsidRPr="00A64D4B" w:rsidRDefault="00A64D4B" w:rsidP="00A64D4B">
      <w:pPr>
        <w:ind w:left="720"/>
        <w:jc w:val="both"/>
        <w:rPr>
          <w:rFonts w:eastAsia="Times New Roman"/>
        </w:rPr>
      </w:pPr>
      <w:r w:rsidRPr="00A64D4B">
        <w:rPr>
          <w:rFonts w:eastAsia="Times New Roman"/>
          <w:b/>
        </w:rPr>
        <w:t xml:space="preserve">ODS 5. Igualdad de género: </w:t>
      </w:r>
      <w:r w:rsidRPr="00A64D4B">
        <w:rPr>
          <w:rFonts w:eastAsia="Times New Roman"/>
        </w:rPr>
        <w:t>Lograr la igualdad entre los géneros y empoderar a todas las mujeres y las niñas.</w:t>
      </w:r>
    </w:p>
    <w:p w:rsidR="00A64D4B" w:rsidRPr="00A64D4B" w:rsidRDefault="00A64D4B" w:rsidP="00A64D4B">
      <w:pPr>
        <w:jc w:val="both"/>
        <w:rPr>
          <w:rFonts w:eastAsia="Times New Roman"/>
        </w:rPr>
      </w:pPr>
      <w:r>
        <w:rPr>
          <w:rFonts w:eastAsia="Times New Roman"/>
          <w:b/>
        </w:rPr>
        <w:t>3</w:t>
      </w:r>
      <w:r w:rsidRPr="00A64D4B">
        <w:rPr>
          <w:rFonts w:eastAsia="Times New Roman"/>
          <w:b/>
        </w:rPr>
        <w:t>.2. MARCO NACIONAL</w:t>
      </w:r>
    </w:p>
    <w:p w:rsidR="00A64D4B" w:rsidRPr="00A64D4B" w:rsidRDefault="00A64D4B" w:rsidP="00A64D4B">
      <w:pPr>
        <w:rPr>
          <w:rFonts w:eastAsia="Times New Roman"/>
        </w:rPr>
      </w:pPr>
    </w:p>
    <w:p w:rsidR="00A64D4B" w:rsidRPr="00A64D4B" w:rsidRDefault="00A64D4B" w:rsidP="00A64D4B">
      <w:pPr>
        <w:jc w:val="both"/>
        <w:rPr>
          <w:rFonts w:eastAsia="Times New Roman"/>
        </w:rPr>
      </w:pPr>
      <w:r>
        <w:rPr>
          <w:rFonts w:eastAsia="Times New Roman"/>
          <w:b/>
        </w:rPr>
        <w:t>3</w:t>
      </w:r>
      <w:r w:rsidRPr="00A64D4B">
        <w:rPr>
          <w:rFonts w:eastAsia="Times New Roman"/>
          <w:b/>
        </w:rPr>
        <w:t>.2.1. CONSTITUCIÓN POLÍTICA </w:t>
      </w:r>
    </w:p>
    <w:p w:rsidR="00A64D4B" w:rsidRPr="00A64D4B" w:rsidRDefault="00A64D4B" w:rsidP="00A64D4B">
      <w:pPr>
        <w:rPr>
          <w:rFonts w:eastAsia="Times New Roman"/>
        </w:rPr>
      </w:pPr>
    </w:p>
    <w:p w:rsidR="00A64D4B" w:rsidRPr="00A64D4B" w:rsidRDefault="00A64D4B" w:rsidP="00A64D4B">
      <w:pPr>
        <w:ind w:left="720"/>
        <w:jc w:val="both"/>
        <w:rPr>
          <w:rFonts w:eastAsia="Times New Roman"/>
        </w:rPr>
      </w:pPr>
      <w:r w:rsidRPr="00A64D4B">
        <w:rPr>
          <w:rFonts w:eastAsia="Times New Roman"/>
          <w:b/>
        </w:rPr>
        <w:t xml:space="preserve">Artículo 1. </w:t>
      </w:r>
      <w:r w:rsidRPr="00A64D4B">
        <w:rPr>
          <w:rFonts w:eastAsia="Times New Roman"/>
          <w:i/>
        </w:rPr>
        <w:t>“Colombia es un Estado social de derecho, organizado en forma de República unitaria, descentralizada, con autonomía de sus entidades territoriales, democrática, participativa y pluralista, fundada en el respeto de la dignidad humana, en el trabajo y la solidaridad de las personas que la integran y en la prevalencia del interés general.”</w:t>
      </w:r>
    </w:p>
    <w:p w:rsidR="00A64D4B" w:rsidRPr="00A64D4B" w:rsidRDefault="00A64D4B" w:rsidP="00A64D4B">
      <w:pPr>
        <w:ind w:left="720"/>
        <w:rPr>
          <w:rFonts w:eastAsia="Times New Roman"/>
        </w:rPr>
      </w:pPr>
    </w:p>
    <w:p w:rsidR="00A64D4B" w:rsidRPr="00A64D4B" w:rsidRDefault="00A64D4B" w:rsidP="00A64D4B">
      <w:pPr>
        <w:ind w:left="720"/>
        <w:jc w:val="both"/>
        <w:rPr>
          <w:rFonts w:eastAsia="Times New Roman"/>
        </w:rPr>
      </w:pPr>
      <w:r w:rsidRPr="00A64D4B">
        <w:rPr>
          <w:rFonts w:eastAsia="Times New Roman"/>
          <w:b/>
        </w:rPr>
        <w:t xml:space="preserve">Artículo 2. </w:t>
      </w:r>
      <w:r w:rsidRPr="00A64D4B">
        <w:rPr>
          <w:rFonts w:eastAsia="Times New Roman"/>
          <w:b/>
          <w:i/>
        </w:rPr>
        <w:t>“</w:t>
      </w:r>
      <w:r w:rsidRPr="00A64D4B">
        <w:rPr>
          <w:rFonts w:eastAsia="Times New Roman"/>
          <w:i/>
        </w:rPr>
        <w:t>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rsidR="00A64D4B" w:rsidRPr="00A64D4B" w:rsidRDefault="00A64D4B" w:rsidP="00A64D4B">
      <w:pPr>
        <w:ind w:left="720"/>
        <w:rPr>
          <w:rFonts w:eastAsia="Times New Roman"/>
        </w:rPr>
      </w:pPr>
    </w:p>
    <w:p w:rsidR="00A64D4B" w:rsidRPr="00A64D4B" w:rsidRDefault="00A64D4B" w:rsidP="00A64D4B">
      <w:pPr>
        <w:ind w:left="720"/>
        <w:jc w:val="both"/>
        <w:rPr>
          <w:rFonts w:eastAsia="Times New Roman"/>
          <w:i/>
        </w:rPr>
      </w:pPr>
      <w:r w:rsidRPr="00A64D4B">
        <w:rPr>
          <w:rFonts w:eastAsia="Times New Roman"/>
          <w:b/>
        </w:rPr>
        <w:t xml:space="preserve">Artículo 13. </w:t>
      </w:r>
      <w:r w:rsidRPr="00A64D4B">
        <w:rPr>
          <w:rFonts w:eastAsia="Times New Roman"/>
          <w:i/>
        </w:rPr>
        <w:t>“Todas las personas nacen libres e iguales ante la ley, recibirán la misma protección y trato de las autoridades y gozarán de los mismos derechos, libertades y oportunidades sin ninguna discriminación por razones de sexo, raza, origen nacional o familiar, lengua, religión, opinión política o filosófica. El Estado promoverá las condiciones para que la igualdad sea real y efectiva y adoptará medidas en favor de grupos discriminados o marginados (...)”</w:t>
      </w:r>
    </w:p>
    <w:p w:rsidR="00A64D4B" w:rsidRPr="00A64D4B" w:rsidRDefault="00A64D4B" w:rsidP="00A64D4B">
      <w:pPr>
        <w:ind w:left="720"/>
        <w:rPr>
          <w:rFonts w:eastAsia="Times New Roman"/>
        </w:rPr>
      </w:pPr>
    </w:p>
    <w:p w:rsidR="00A64D4B" w:rsidRPr="00A64D4B" w:rsidRDefault="00A64D4B" w:rsidP="00A64D4B">
      <w:pPr>
        <w:ind w:left="720"/>
        <w:jc w:val="both"/>
        <w:rPr>
          <w:rFonts w:eastAsia="Times New Roman"/>
          <w:i/>
          <w:color w:val="FF0000"/>
        </w:rPr>
      </w:pPr>
      <w:r w:rsidRPr="00A64D4B">
        <w:rPr>
          <w:rFonts w:eastAsia="Times New Roman"/>
          <w:b/>
        </w:rPr>
        <w:t xml:space="preserve">Artículo 43. </w:t>
      </w:r>
      <w:r w:rsidRPr="00A64D4B">
        <w:rPr>
          <w:rFonts w:eastAsia="Times New Roman"/>
          <w:i/>
        </w:rPr>
        <w:t>“La mujer y el hombre tienen iguales derechos y oportunidades. La mujer no podrá ser sometida a ninguna clase de discriminación (...)”</w:t>
      </w:r>
    </w:p>
    <w:p w:rsidR="00A64D4B" w:rsidRPr="00A64D4B" w:rsidRDefault="00A64D4B" w:rsidP="00A64D4B">
      <w:pPr>
        <w:ind w:left="720"/>
        <w:rPr>
          <w:rFonts w:eastAsia="Times New Roman"/>
        </w:rPr>
      </w:pPr>
    </w:p>
    <w:p w:rsidR="00A64D4B" w:rsidRPr="00A64D4B" w:rsidRDefault="00A64D4B" w:rsidP="00A64D4B">
      <w:pPr>
        <w:ind w:left="720"/>
        <w:jc w:val="both"/>
        <w:rPr>
          <w:rFonts w:eastAsia="Times New Roman"/>
          <w:i/>
        </w:rPr>
      </w:pPr>
      <w:r w:rsidRPr="00A64D4B">
        <w:rPr>
          <w:rFonts w:eastAsia="Times New Roman"/>
          <w:b/>
        </w:rPr>
        <w:t xml:space="preserve">Artículo 70. </w:t>
      </w:r>
      <w:r w:rsidRPr="00A64D4B">
        <w:rPr>
          <w:rFonts w:eastAsia="Times New Roman"/>
          <w:i/>
        </w:rPr>
        <w:t xml:space="preserve">“El Estado tiene el deber de promover y fomentar el acceso a la cultura de todos los colombianos en igualdad de oportunidades, por medio de la educación permanente y la </w:t>
      </w:r>
      <w:r w:rsidRPr="00A64D4B">
        <w:rPr>
          <w:rFonts w:eastAsia="Times New Roman"/>
          <w:i/>
        </w:rPr>
        <w:lastRenderedPageBreak/>
        <w:t>enseñanza científica, técnica, artística y profesional en todas las etapas del proceso de creación de la identidad nacional. La cultura en sus diversas manifestaciones es fundamento de la nacionalidad. El Estado reconoce la igualdad y dignidad de todas las que conviven en el país. El Estado promoverá la investigación, la ciencia, el desarrollo y la difusión de los valores culturales de la Nación.”</w:t>
      </w:r>
    </w:p>
    <w:p w:rsidR="00A64D4B" w:rsidRPr="00A64D4B" w:rsidRDefault="00A64D4B" w:rsidP="00A64D4B">
      <w:pPr>
        <w:ind w:left="720"/>
        <w:rPr>
          <w:rFonts w:eastAsia="Times New Roman"/>
        </w:rPr>
      </w:pPr>
    </w:p>
    <w:p w:rsidR="00A64D4B" w:rsidRPr="00A64D4B" w:rsidRDefault="00A64D4B" w:rsidP="00A64D4B">
      <w:pPr>
        <w:ind w:left="720"/>
        <w:jc w:val="both"/>
        <w:rPr>
          <w:rFonts w:eastAsia="Times New Roman"/>
          <w:i/>
        </w:rPr>
      </w:pPr>
      <w:r w:rsidRPr="00A64D4B">
        <w:rPr>
          <w:rFonts w:eastAsia="Times New Roman"/>
          <w:b/>
        </w:rPr>
        <w:t xml:space="preserve">Artículo 71. </w:t>
      </w:r>
      <w:r w:rsidRPr="00A64D4B">
        <w:rPr>
          <w:rFonts w:eastAsia="Times New Roman"/>
          <w:i/>
        </w:rPr>
        <w:t>“La búsqueda del conocimiento y la expresión artística son libres. Los planes de desarrollo económico y social incluirán el fomento a las ciencias y, en general, a la cultura. (...)”</w:t>
      </w:r>
    </w:p>
    <w:p w:rsidR="00A64D4B" w:rsidRPr="00A64D4B" w:rsidRDefault="00A64D4B" w:rsidP="00A64D4B">
      <w:pPr>
        <w:ind w:left="720"/>
        <w:rPr>
          <w:rFonts w:eastAsia="Times New Roman"/>
        </w:rPr>
      </w:pPr>
    </w:p>
    <w:p w:rsidR="00A64D4B" w:rsidRPr="00A64D4B" w:rsidRDefault="00A64D4B" w:rsidP="00A64D4B">
      <w:pPr>
        <w:ind w:left="720"/>
        <w:jc w:val="both"/>
        <w:rPr>
          <w:rFonts w:eastAsia="Times New Roman"/>
          <w:i/>
        </w:rPr>
      </w:pPr>
      <w:r w:rsidRPr="00A64D4B">
        <w:rPr>
          <w:rFonts w:eastAsia="Times New Roman"/>
          <w:b/>
        </w:rPr>
        <w:t xml:space="preserve">Artículo 313. </w:t>
      </w:r>
      <w:r w:rsidRPr="00A64D4B">
        <w:rPr>
          <w:rFonts w:eastAsia="Times New Roman"/>
          <w:i/>
        </w:rPr>
        <w:t xml:space="preserve">“Corresponde a los concejos: </w:t>
      </w:r>
    </w:p>
    <w:p w:rsidR="00A64D4B" w:rsidRPr="00A64D4B" w:rsidRDefault="00A64D4B" w:rsidP="00A64D4B">
      <w:pPr>
        <w:ind w:left="720"/>
        <w:jc w:val="both"/>
        <w:rPr>
          <w:rFonts w:eastAsia="Times New Roman"/>
          <w:i/>
        </w:rPr>
      </w:pPr>
      <w:r w:rsidRPr="00A64D4B">
        <w:rPr>
          <w:rFonts w:eastAsia="Times New Roman"/>
          <w:i/>
        </w:rPr>
        <w:t>9. Dictar las normas necesarias para el control, la preservación y defensa del patrimonio ecológico y cultural del municipio.”</w:t>
      </w:r>
    </w:p>
    <w:p w:rsidR="00A64D4B" w:rsidRDefault="00A64D4B" w:rsidP="00A64D4B">
      <w:pPr>
        <w:rPr>
          <w:rFonts w:eastAsia="Times New Roman"/>
        </w:rPr>
      </w:pPr>
    </w:p>
    <w:p w:rsidR="00A64D4B" w:rsidRPr="00A64D4B" w:rsidRDefault="00A64D4B" w:rsidP="00A64D4B">
      <w:pPr>
        <w:jc w:val="both"/>
        <w:rPr>
          <w:rFonts w:eastAsia="Times New Roman"/>
        </w:rPr>
      </w:pPr>
      <w:r>
        <w:rPr>
          <w:rFonts w:eastAsia="Times New Roman"/>
          <w:b/>
        </w:rPr>
        <w:t>3</w:t>
      </w:r>
      <w:r w:rsidRPr="00A64D4B">
        <w:rPr>
          <w:rFonts w:eastAsia="Times New Roman"/>
          <w:b/>
        </w:rPr>
        <w:t>.2.2. LEYES</w:t>
      </w:r>
    </w:p>
    <w:p w:rsidR="00A64D4B" w:rsidRPr="00A64D4B" w:rsidRDefault="00A64D4B" w:rsidP="00A64D4B">
      <w:pPr>
        <w:rPr>
          <w:rFonts w:eastAsia="Times New Roman"/>
        </w:rPr>
      </w:pPr>
    </w:p>
    <w:p w:rsidR="00A64D4B" w:rsidRPr="00A64D4B" w:rsidRDefault="00A64D4B" w:rsidP="00A64D4B">
      <w:pPr>
        <w:jc w:val="both"/>
        <w:rPr>
          <w:rFonts w:eastAsia="Times New Roman"/>
          <w:b/>
        </w:rPr>
      </w:pPr>
      <w:r w:rsidRPr="00A64D4B">
        <w:rPr>
          <w:rFonts w:eastAsia="Times New Roman"/>
          <w:b/>
        </w:rPr>
        <w:t>Ley 397 de 1997</w:t>
      </w:r>
    </w:p>
    <w:p w:rsidR="00A64D4B" w:rsidRPr="00A64D4B" w:rsidRDefault="00A64D4B" w:rsidP="00A64D4B">
      <w:pPr>
        <w:jc w:val="both"/>
        <w:rPr>
          <w:rFonts w:eastAsia="Times New Roman"/>
          <w:b/>
        </w:rPr>
      </w:pPr>
      <w:r w:rsidRPr="00A64D4B">
        <w:rPr>
          <w:rFonts w:eastAsia="Times New Roman"/>
          <w:b/>
        </w:rPr>
        <w:t xml:space="preserve">“Por la cual se desarrollan los Artículos 70, 71 y 72 y demás Artículos concordantes de la Constitución Política y se dictan normas sobre patrimonio cultural, fomentos y estímulos a la cultura, se crea el Ministerio de la Cultura y se trasladan algunas dependencias.” </w:t>
      </w:r>
    </w:p>
    <w:p w:rsidR="00A64D4B" w:rsidRPr="00A64D4B" w:rsidRDefault="00A64D4B" w:rsidP="00A64D4B">
      <w:pPr>
        <w:jc w:val="both"/>
        <w:rPr>
          <w:rFonts w:eastAsia="Times New Roman"/>
          <w:b/>
        </w:rPr>
      </w:pPr>
    </w:p>
    <w:p w:rsidR="00A64D4B" w:rsidRPr="00A64D4B" w:rsidRDefault="00A64D4B" w:rsidP="00A64D4B">
      <w:pPr>
        <w:ind w:left="720"/>
        <w:jc w:val="both"/>
        <w:rPr>
          <w:rFonts w:eastAsia="Times New Roman"/>
          <w:i/>
        </w:rPr>
      </w:pPr>
      <w:r w:rsidRPr="00A64D4B">
        <w:rPr>
          <w:rFonts w:eastAsia="Times New Roman"/>
          <w:b/>
        </w:rPr>
        <w:t xml:space="preserve">Artículo 1. De los principios fundamentales y definiciones de esta ley. </w:t>
      </w:r>
      <w:r w:rsidRPr="00A64D4B">
        <w:rPr>
          <w:rFonts w:eastAsia="Times New Roman"/>
          <w:i/>
        </w:rPr>
        <w:t>“La presente ley está basada en los siguientes principios fundamental y definiciones:</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1. Cultura es el conjunto de rasgos distintivos, espirituales, materiales, intelectuales y emocionales que caracterizan a los grupos humanos y que comprende, más allá de las artes y las letras, modos de vida, derechos humanos, sistemas de valores, tradiciones y creencias.</w:t>
      </w:r>
    </w:p>
    <w:p w:rsidR="00A64D4B" w:rsidRPr="00A64D4B" w:rsidRDefault="00A64D4B" w:rsidP="00A64D4B">
      <w:pPr>
        <w:ind w:left="720"/>
        <w:jc w:val="both"/>
        <w:rPr>
          <w:rFonts w:eastAsia="Times New Roman"/>
          <w:i/>
        </w:rPr>
      </w:pPr>
      <w:r w:rsidRPr="00A64D4B">
        <w:rPr>
          <w:rFonts w:eastAsia="Times New Roman"/>
          <w:i/>
        </w:rPr>
        <w:t>2. La cultura, en sus diversas manifestaciones, es fundamento de la nacionalidad y actividad propia de la sociedad colombiana en su conjunto, como proceso generado individual y colectivamente por los colombianos. Dichas manifestaciones constituyen parte integral de la identidad y la cultura colombianas.</w:t>
      </w:r>
    </w:p>
    <w:p w:rsidR="00A64D4B" w:rsidRPr="00A64D4B" w:rsidRDefault="00A64D4B" w:rsidP="00A64D4B">
      <w:pPr>
        <w:ind w:left="720"/>
        <w:jc w:val="both"/>
        <w:rPr>
          <w:rFonts w:eastAsia="Times New Roman"/>
          <w:i/>
        </w:rPr>
      </w:pPr>
      <w:r w:rsidRPr="00A64D4B">
        <w:rPr>
          <w:rFonts w:eastAsia="Times New Roman"/>
          <w:i/>
        </w:rPr>
        <w:t>(...)</w:t>
      </w:r>
    </w:p>
    <w:p w:rsidR="00A64D4B" w:rsidRPr="00A64D4B" w:rsidRDefault="00A64D4B" w:rsidP="00A64D4B">
      <w:pPr>
        <w:ind w:left="720"/>
        <w:jc w:val="both"/>
        <w:rPr>
          <w:rFonts w:eastAsia="Times New Roman"/>
          <w:i/>
        </w:rPr>
      </w:pPr>
      <w:r w:rsidRPr="00A64D4B">
        <w:rPr>
          <w:rFonts w:eastAsia="Times New Roman"/>
          <w:i/>
        </w:rPr>
        <w:t>5. Es obligación del estado y de las personas valorar, proteger y difundir el Patrimonio Cultural de la Nación.</w:t>
      </w:r>
    </w:p>
    <w:p w:rsidR="00A64D4B" w:rsidRPr="00A64D4B" w:rsidRDefault="00A64D4B" w:rsidP="00A64D4B">
      <w:pPr>
        <w:ind w:left="720"/>
        <w:jc w:val="both"/>
        <w:rPr>
          <w:rFonts w:eastAsia="Times New Roman"/>
          <w:i/>
        </w:rPr>
      </w:pPr>
      <w:r w:rsidRPr="00A64D4B">
        <w:rPr>
          <w:rFonts w:eastAsia="Times New Roman"/>
          <w:i/>
        </w:rPr>
        <w:t>(...)</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b/>
        </w:rPr>
        <w:t>Artículo 2. Del papel del Estado en relación con la cultura. “</w:t>
      </w:r>
      <w:r w:rsidRPr="00A64D4B">
        <w:rPr>
          <w:rFonts w:eastAsia="Times New Roman"/>
          <w:i/>
        </w:rPr>
        <w:t>Las funciones los servicios del Estado en relación con la cultura se cumplirán en conformidad con lo dispuesto en el Artículo anterior, teniendo en cuenta que el objetivo primordial de la política estatal sobre la materia son la preservación del Patrimonio Cultural de la Nación y el apoyo y el estímulo a las personas, comunidades e instituciones que desarrollen o promuevan las expresiones artísticas y culturales en los ámbitos locales, regionales y nacional.”</w:t>
      </w:r>
    </w:p>
    <w:p w:rsidR="00A64D4B" w:rsidRPr="00A64D4B" w:rsidRDefault="00A64D4B" w:rsidP="00A64D4B">
      <w:pPr>
        <w:ind w:left="720"/>
        <w:rPr>
          <w:rFonts w:eastAsia="Times New Roman"/>
        </w:rPr>
      </w:pPr>
    </w:p>
    <w:p w:rsidR="00A64D4B" w:rsidRPr="00A64D4B" w:rsidRDefault="00A64D4B" w:rsidP="00A64D4B">
      <w:pPr>
        <w:ind w:left="720"/>
        <w:jc w:val="both"/>
        <w:rPr>
          <w:rFonts w:eastAsia="Times New Roman"/>
        </w:rPr>
      </w:pPr>
      <w:r w:rsidRPr="00A64D4B">
        <w:rPr>
          <w:rFonts w:eastAsia="Times New Roman"/>
          <w:b/>
        </w:rPr>
        <w:t xml:space="preserve">Artículo 4. Definición de patrimonio cultural de la Nación. </w:t>
      </w:r>
      <w:r w:rsidRPr="00A64D4B">
        <w:rPr>
          <w:rFonts w:eastAsia="Times New Roman"/>
          <w:i/>
        </w:rPr>
        <w:t xml:space="preserve">El patrimonio cultural de la Nación está constituido por todos los bienes y valores culturales que son expresión de la nacionalidad colombiana, tales como la tradición, las costumbres y los hábitos, así como el </w:t>
      </w:r>
      <w:r w:rsidRPr="00A64D4B">
        <w:rPr>
          <w:rFonts w:eastAsia="Times New Roman"/>
          <w:b/>
          <w:i/>
        </w:rPr>
        <w:t>conjunto de bienes inmateriales y materiales, muebles e inmuebles, que poseen un especial interés histórico</w:t>
      </w:r>
      <w:r w:rsidRPr="00A64D4B">
        <w:rPr>
          <w:rFonts w:eastAsia="Times New Roman"/>
          <w:i/>
        </w:rPr>
        <w:t xml:space="preserve">, artístico, estético, plástico, arquitectónico, urbano, arqueológico, ambiental, ecológico, lingüístico, sonoro, musical, audiovisual, fílmico, científico, testimonial, documental, literario, bibliográfico museológico, antropológico y las manifestaciones, los productos y las representaciones de la cultura popular. </w:t>
      </w:r>
      <w:r w:rsidRPr="00A64D4B">
        <w:rPr>
          <w:rFonts w:eastAsia="Times New Roman"/>
        </w:rPr>
        <w:t>(subrayado fuera de texto).</w:t>
      </w:r>
    </w:p>
    <w:p w:rsidR="00A64D4B" w:rsidRPr="00A64D4B" w:rsidRDefault="00A64D4B" w:rsidP="00A64D4B">
      <w:pPr>
        <w:shd w:val="clear" w:color="auto" w:fill="FFFFFF"/>
        <w:spacing w:before="240" w:line="276" w:lineRule="auto"/>
        <w:ind w:left="720"/>
        <w:jc w:val="both"/>
        <w:rPr>
          <w:rFonts w:eastAsia="Times New Roman"/>
          <w:i/>
        </w:rPr>
      </w:pPr>
      <w:r w:rsidRPr="00A64D4B">
        <w:rPr>
          <w:rFonts w:eastAsia="Times New Roman"/>
          <w:i/>
        </w:rPr>
        <w:lastRenderedPageBreak/>
        <w:t xml:space="preserve">Las disposiciones de la presente ley y de su futura reglamentación serán aplicadas a los bienes y categorías de bienes </w:t>
      </w:r>
      <w:r w:rsidR="00D520C9" w:rsidRPr="00A64D4B">
        <w:rPr>
          <w:rFonts w:eastAsia="Times New Roman"/>
          <w:i/>
        </w:rPr>
        <w:t>que,</w:t>
      </w:r>
      <w:r w:rsidRPr="00A64D4B">
        <w:rPr>
          <w:rFonts w:eastAsia="Times New Roman"/>
          <w:i/>
        </w:rPr>
        <w:t xml:space="preserve"> siendo parte del Patrimonio Cultural de la Nación pertenecientes a las épocas prehispánicas, de la Colonia, la Independencia, la República y la Contemporánea, sean declarados como bienes de interés cultural, conforme a los criterios de valoración que para tal efecto determine el Ministerio de Cultura.</w:t>
      </w:r>
    </w:p>
    <w:p w:rsidR="00A64D4B" w:rsidRPr="00A64D4B" w:rsidRDefault="00A64D4B" w:rsidP="00A64D4B">
      <w:pPr>
        <w:shd w:val="clear" w:color="auto" w:fill="FFFFFF"/>
        <w:spacing w:before="240" w:line="276" w:lineRule="auto"/>
        <w:ind w:left="720"/>
        <w:jc w:val="both"/>
        <w:rPr>
          <w:rFonts w:eastAsia="Times New Roman"/>
          <w:i/>
        </w:rPr>
      </w:pPr>
      <w:r w:rsidRPr="00A64D4B">
        <w:rPr>
          <w:rFonts w:eastAsia="Times New Roman"/>
          <w:i/>
        </w:rPr>
        <w:t>PARÁGRAFO 1.- Los bienes declarados monumentos nacionales con anterioridad a la presente ley, así como 105 bienes integrantes del patrimonio arqueológico, serán considerados como bienes de interés cultural.</w:t>
      </w:r>
    </w:p>
    <w:p w:rsidR="00A64D4B" w:rsidRPr="00A64D4B" w:rsidRDefault="00A64D4B" w:rsidP="00A64D4B">
      <w:pPr>
        <w:shd w:val="clear" w:color="auto" w:fill="FFFFFF"/>
        <w:spacing w:before="240" w:line="276" w:lineRule="auto"/>
        <w:ind w:left="720"/>
        <w:jc w:val="both"/>
        <w:rPr>
          <w:rFonts w:eastAsia="Times New Roman"/>
          <w:i/>
        </w:rPr>
      </w:pPr>
      <w:r w:rsidRPr="00A64D4B">
        <w:rPr>
          <w:rFonts w:eastAsia="Times New Roman"/>
          <w:i/>
        </w:rPr>
        <w:t>También podrán ser declarados bienes de interés cultural, previo concepto del Ministerio de Cultura, aquellos bienes que hayan sido objeto de reconocimiento especial expreso por las entidades territoriales.</w:t>
      </w:r>
    </w:p>
    <w:p w:rsidR="00A64D4B" w:rsidRPr="00A64D4B" w:rsidRDefault="00A64D4B" w:rsidP="00A64D4B">
      <w:pPr>
        <w:ind w:left="720"/>
        <w:rPr>
          <w:rFonts w:eastAsia="Times New Roman"/>
          <w:i/>
        </w:rPr>
      </w:pPr>
    </w:p>
    <w:p w:rsidR="00A64D4B" w:rsidRPr="00A64D4B" w:rsidRDefault="00A64D4B" w:rsidP="00A64D4B">
      <w:pPr>
        <w:ind w:left="720"/>
        <w:jc w:val="both"/>
        <w:rPr>
          <w:rFonts w:eastAsia="Times New Roman"/>
          <w:i/>
        </w:rPr>
      </w:pPr>
      <w:r w:rsidRPr="00A64D4B">
        <w:rPr>
          <w:rFonts w:eastAsia="Times New Roman"/>
          <w:b/>
        </w:rPr>
        <w:t xml:space="preserve">Artículo 8. Declaratoria y manejo del patrimonio cultural de la Nación. </w:t>
      </w:r>
      <w:r w:rsidRPr="00A64D4B">
        <w:rPr>
          <w:rFonts w:eastAsia="Times New Roman"/>
          <w:i/>
        </w:rPr>
        <w:t>El Gobierno Nacional, a través del Ministerio de Cultura y previo concepto del Consejo de Monumentos Nacionales, es el responsable de la declaratoria y del manejo de los monumentos nacionales y de los bienes de interés cultural de carácter nacional.</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A las entidades territoriales, con base en los principios de descentralización, autonomía y participación, les corresponde la declaratoria y el manejo del patrimonio cultural y de los bienes de interés cultural del ámbito municipal, distrital, departamental, a través de las alcaldías municipales y las gobernaciones respectivas, y de los territorios indígenas, previo concepto de los centros filiales del Consejo de Monumentos Nacionales allí donde existan, o en su defecto por la entidad delegada por el Ministerio de Cultura.</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Lo anterior se entiende sin perjuicio de que los bienes antes mencionados puedan ser declarados bienes de interés cultural de carácter nacional.</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 xml:space="preserve">Para la declaratoria y el manejo de los bienes de interés cultural se aplicará el principio de coordinación entre los niveles nacional, departamental, distrital y municipal y de los territorios </w:t>
      </w:r>
      <w:proofErr w:type="gramStart"/>
      <w:r w:rsidRPr="00A64D4B">
        <w:rPr>
          <w:rFonts w:eastAsia="Times New Roman"/>
          <w:i/>
        </w:rPr>
        <w:t>indígenas.(...)</w:t>
      </w:r>
      <w:proofErr w:type="gramEnd"/>
    </w:p>
    <w:p w:rsidR="00A64D4B" w:rsidRPr="00A64D4B" w:rsidRDefault="00A64D4B" w:rsidP="00A64D4B">
      <w:pPr>
        <w:ind w:left="720"/>
        <w:rPr>
          <w:rFonts w:eastAsia="Times New Roman"/>
          <w:b/>
        </w:rPr>
      </w:pPr>
    </w:p>
    <w:p w:rsidR="00A64D4B" w:rsidRPr="00A64D4B" w:rsidRDefault="00A64D4B" w:rsidP="00A64D4B">
      <w:pPr>
        <w:ind w:left="720"/>
        <w:rPr>
          <w:rFonts w:eastAsia="Times New Roman"/>
          <w:i/>
        </w:rPr>
      </w:pPr>
      <w:r w:rsidRPr="00A64D4B">
        <w:rPr>
          <w:rFonts w:eastAsia="Times New Roman"/>
          <w:b/>
        </w:rPr>
        <w:t xml:space="preserve">Artículo 10. </w:t>
      </w:r>
      <w:proofErr w:type="spellStart"/>
      <w:r w:rsidRPr="00A64D4B">
        <w:rPr>
          <w:rFonts w:eastAsia="Times New Roman"/>
          <w:b/>
        </w:rPr>
        <w:t>Inembargabilidad</w:t>
      </w:r>
      <w:proofErr w:type="spellEnd"/>
      <w:r w:rsidRPr="00A64D4B">
        <w:rPr>
          <w:rFonts w:eastAsia="Times New Roman"/>
          <w:b/>
        </w:rPr>
        <w:t xml:space="preserve">, imprescriptibilidad e inalienabilidad. </w:t>
      </w:r>
      <w:r w:rsidRPr="00A64D4B">
        <w:rPr>
          <w:rFonts w:eastAsia="Times New Roman"/>
          <w:i/>
        </w:rPr>
        <w:t xml:space="preserve">Los bienes de interés cultural que conforman el patrimonio cultural de la Nación que sean propiedad de entidades públicas, son inembargables, imprescriptibles e inalienables. </w:t>
      </w:r>
    </w:p>
    <w:p w:rsidR="00A64D4B" w:rsidRPr="00A64D4B" w:rsidRDefault="00A64D4B" w:rsidP="00A64D4B">
      <w:pPr>
        <w:ind w:left="720"/>
        <w:rPr>
          <w:rFonts w:eastAsia="Times New Roman"/>
          <w:i/>
        </w:rPr>
      </w:pPr>
      <w:r w:rsidRPr="00A64D4B">
        <w:rPr>
          <w:rFonts w:eastAsia="Times New Roman"/>
          <w:i/>
        </w:rPr>
        <w:t>(...)</w:t>
      </w:r>
    </w:p>
    <w:p w:rsidR="00A64D4B" w:rsidRPr="00A64D4B" w:rsidRDefault="00A64D4B" w:rsidP="00A64D4B">
      <w:pPr>
        <w:ind w:left="720"/>
        <w:rPr>
          <w:rFonts w:eastAsia="Times New Roman"/>
        </w:rPr>
      </w:pPr>
    </w:p>
    <w:p w:rsidR="00A64D4B" w:rsidRPr="00A64D4B" w:rsidRDefault="00A64D4B" w:rsidP="00A64D4B">
      <w:pPr>
        <w:ind w:left="720"/>
        <w:jc w:val="both"/>
        <w:rPr>
          <w:rFonts w:eastAsia="Times New Roman"/>
          <w:i/>
        </w:rPr>
      </w:pPr>
      <w:r w:rsidRPr="00A64D4B">
        <w:rPr>
          <w:rFonts w:eastAsia="Times New Roman"/>
          <w:b/>
        </w:rPr>
        <w:t xml:space="preserve">Artículo 14. Registro nacional de patrimonio cultural. </w:t>
      </w:r>
      <w:r w:rsidRPr="00A64D4B">
        <w:rPr>
          <w:rFonts w:eastAsia="Times New Roman"/>
          <w:i/>
        </w:rPr>
        <w:t>La Nación y las entidades territoriales estarán en la obligación de realizar el registro del patrimonio cultural. Las entidades territoriales remitirán periódicamente al Ministerio de Cultura, sus respectivos registros, con el fin de que sean contemplados en el Registro Nacional del Patrimonio Cultural.</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 xml:space="preserve">El Ministerio de Cultura reglamentará lo relativo al registro y definirá las categorías de protección aplicables a los diversos tipos de bienes registrados, en coordinación con las entidades territoriales. </w:t>
      </w:r>
    </w:p>
    <w:p w:rsidR="00A64D4B" w:rsidRDefault="00A64D4B" w:rsidP="00A64D4B">
      <w:pPr>
        <w:rPr>
          <w:rFonts w:eastAsia="Times New Roman"/>
        </w:rPr>
      </w:pPr>
    </w:p>
    <w:p w:rsidR="00D520C9" w:rsidRPr="00A64D4B" w:rsidRDefault="00D520C9" w:rsidP="00A64D4B">
      <w:pPr>
        <w:rPr>
          <w:rFonts w:eastAsia="Times New Roman"/>
        </w:rPr>
      </w:pPr>
    </w:p>
    <w:p w:rsidR="00A64D4B" w:rsidRPr="00A64D4B" w:rsidRDefault="00FE5924" w:rsidP="00A64D4B">
      <w:pPr>
        <w:jc w:val="both"/>
        <w:rPr>
          <w:rFonts w:eastAsia="Times New Roman"/>
          <w:b/>
        </w:rPr>
      </w:pPr>
      <w:r>
        <w:rPr>
          <w:rFonts w:eastAsia="Times New Roman"/>
          <w:b/>
        </w:rPr>
        <w:lastRenderedPageBreak/>
        <w:t>3</w:t>
      </w:r>
      <w:r w:rsidR="00A64D4B" w:rsidRPr="00A64D4B">
        <w:rPr>
          <w:rFonts w:eastAsia="Times New Roman"/>
          <w:b/>
        </w:rPr>
        <w:t>.2.3. DECRETOS NACIONALES</w:t>
      </w:r>
    </w:p>
    <w:p w:rsidR="00A64D4B" w:rsidRPr="00A64D4B" w:rsidRDefault="00A64D4B" w:rsidP="00A64D4B">
      <w:pPr>
        <w:jc w:val="both"/>
        <w:rPr>
          <w:rFonts w:eastAsia="Times New Roman"/>
          <w:i/>
        </w:rPr>
      </w:pPr>
    </w:p>
    <w:p w:rsidR="00A64D4B" w:rsidRPr="00A64D4B" w:rsidRDefault="00A64D4B" w:rsidP="00A64D4B">
      <w:pPr>
        <w:jc w:val="both"/>
        <w:rPr>
          <w:rFonts w:eastAsia="Times New Roman"/>
          <w:b/>
        </w:rPr>
      </w:pPr>
      <w:r w:rsidRPr="00A64D4B">
        <w:rPr>
          <w:rFonts w:eastAsia="Times New Roman"/>
          <w:b/>
        </w:rPr>
        <w:t xml:space="preserve">Decreto Ley 1421 de 1993 </w:t>
      </w:r>
    </w:p>
    <w:p w:rsidR="00A64D4B" w:rsidRPr="00A64D4B" w:rsidRDefault="00A64D4B" w:rsidP="00A64D4B">
      <w:pPr>
        <w:jc w:val="both"/>
        <w:rPr>
          <w:rFonts w:eastAsia="Times New Roman"/>
          <w:b/>
        </w:rPr>
      </w:pPr>
      <w:r w:rsidRPr="00A64D4B">
        <w:rPr>
          <w:rFonts w:eastAsia="Times New Roman"/>
          <w:b/>
        </w:rPr>
        <w:t>“Por el cual se dicta el régimen especial para el Distrito Capital de Santafé de Bogotá”</w:t>
      </w:r>
    </w:p>
    <w:p w:rsidR="00A64D4B" w:rsidRPr="00A64D4B" w:rsidRDefault="00A64D4B" w:rsidP="00A64D4B">
      <w:pPr>
        <w:jc w:val="both"/>
        <w:rPr>
          <w:rFonts w:eastAsia="Times New Roman"/>
          <w:b/>
        </w:rPr>
      </w:pPr>
    </w:p>
    <w:p w:rsidR="00A64D4B" w:rsidRPr="00A64D4B" w:rsidRDefault="00A64D4B" w:rsidP="00A64D4B">
      <w:pPr>
        <w:ind w:left="720"/>
        <w:jc w:val="both"/>
        <w:rPr>
          <w:rFonts w:eastAsia="Times New Roman"/>
          <w:b/>
          <w:i/>
        </w:rPr>
      </w:pPr>
      <w:r w:rsidRPr="00A64D4B">
        <w:rPr>
          <w:rFonts w:eastAsia="Times New Roman"/>
          <w:b/>
        </w:rPr>
        <w:t xml:space="preserve">Artículo 12. </w:t>
      </w:r>
      <w:r w:rsidRPr="00A64D4B">
        <w:rPr>
          <w:rFonts w:eastAsia="Times New Roman"/>
          <w:b/>
          <w:i/>
        </w:rPr>
        <w:t xml:space="preserve">“Atribuciones. </w:t>
      </w:r>
      <w:r w:rsidRPr="00A64D4B">
        <w:rPr>
          <w:rFonts w:eastAsia="Times New Roman"/>
          <w:i/>
        </w:rPr>
        <w:t>Corresponde al Concejo Distrital, de conformidad con la Constitución y a la ley</w:t>
      </w:r>
      <w:r w:rsidRPr="00A64D4B">
        <w:rPr>
          <w:rFonts w:eastAsia="Times New Roman"/>
          <w:b/>
          <w:i/>
        </w:rPr>
        <w:t>:</w:t>
      </w:r>
    </w:p>
    <w:p w:rsidR="00A64D4B" w:rsidRPr="00A64D4B" w:rsidRDefault="00A64D4B" w:rsidP="00A64D4B">
      <w:pPr>
        <w:ind w:left="720"/>
        <w:jc w:val="both"/>
        <w:rPr>
          <w:rFonts w:eastAsia="Times New Roman"/>
          <w:i/>
        </w:rPr>
      </w:pPr>
      <w:r w:rsidRPr="00A64D4B">
        <w:rPr>
          <w:rFonts w:eastAsia="Times New Roman"/>
          <w:i/>
        </w:rPr>
        <w:t>(...) 13. Regular la preservación y defensa del patrimonio cultural.”</w:t>
      </w:r>
    </w:p>
    <w:p w:rsidR="00A64D4B" w:rsidRPr="00A64D4B" w:rsidRDefault="00A64D4B" w:rsidP="00A64D4B">
      <w:pPr>
        <w:ind w:left="720"/>
        <w:jc w:val="both"/>
        <w:rPr>
          <w:rFonts w:eastAsia="Times New Roman"/>
          <w:b/>
          <w:i/>
        </w:rPr>
      </w:pPr>
    </w:p>
    <w:p w:rsidR="00A64D4B" w:rsidRPr="00A64D4B" w:rsidRDefault="00A64D4B" w:rsidP="00A64D4B">
      <w:pPr>
        <w:jc w:val="both"/>
        <w:rPr>
          <w:rFonts w:eastAsia="Times New Roman"/>
          <w:b/>
        </w:rPr>
      </w:pPr>
      <w:r w:rsidRPr="00A64D4B">
        <w:rPr>
          <w:rFonts w:eastAsia="Times New Roman"/>
          <w:b/>
        </w:rPr>
        <w:t xml:space="preserve">Decreto 763 de 2009 </w:t>
      </w:r>
    </w:p>
    <w:p w:rsidR="00A64D4B" w:rsidRPr="00A64D4B" w:rsidRDefault="00A64D4B" w:rsidP="00A64D4B">
      <w:pPr>
        <w:jc w:val="both"/>
        <w:rPr>
          <w:rFonts w:eastAsia="Times New Roman"/>
          <w:b/>
        </w:rPr>
      </w:pPr>
      <w:r w:rsidRPr="00A64D4B">
        <w:rPr>
          <w:rFonts w:eastAsia="Times New Roman"/>
          <w:b/>
        </w:rPr>
        <w:t>“Por el cual se reglamentan parcialmente las Leyes 814 de 2003 y 397 de 1997, modificada por medio de la Ley 1185 de 2008, en lo correspondiente al Patrimonio Cultural de la Nación de naturaleza material.”</w:t>
      </w:r>
    </w:p>
    <w:p w:rsidR="00A64D4B" w:rsidRPr="00A64D4B" w:rsidRDefault="00A64D4B" w:rsidP="00A64D4B">
      <w:pPr>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b/>
        </w:rPr>
        <w:t xml:space="preserve">Artículo 7. Procedimiento para declarar BIC. </w:t>
      </w:r>
      <w:r w:rsidRPr="00A64D4B">
        <w:rPr>
          <w:rFonts w:eastAsia="Times New Roman"/>
          <w:i/>
        </w:rPr>
        <w:t>El procedimiento que deberá seguir la autoridad competente en todos los casos para declarar BIC, es el establecido en el artículo 89 de la Ley 397 de 1997, modificado por el artículo 5° de la Ley 1185 de 2008.</w:t>
      </w:r>
    </w:p>
    <w:p w:rsidR="00D43201" w:rsidRPr="00A64D4B" w:rsidRDefault="00D43201"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Las declaratorias de BIC que se lleven a cabo sin seguir el procedimiento definido en la referida ley y reglamentado en este decreto, estarán viciadas de nulidad conforme a lo previsto en el Código Contencioso Administrativo. La solicitud de nulidad podrá formularla cualquier instancia o persona.</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b/>
        </w:rPr>
        <w:t>Artículo 9.</w:t>
      </w:r>
      <w:r w:rsidRPr="00A64D4B">
        <w:rPr>
          <w:rFonts w:eastAsia="Times New Roman"/>
        </w:rPr>
        <w:t xml:space="preserve"> </w:t>
      </w:r>
      <w:r w:rsidRPr="00A64D4B">
        <w:rPr>
          <w:rFonts w:eastAsia="Times New Roman"/>
          <w:b/>
        </w:rPr>
        <w:t xml:space="preserve">Iniciativa para la declaratoria. </w:t>
      </w:r>
      <w:r w:rsidRPr="00A64D4B">
        <w:rPr>
          <w:rFonts w:eastAsia="Times New Roman"/>
          <w:i/>
        </w:rPr>
        <w:t>La iniciativa para la declaratoria de un BIC puede surgir de la autoridad competente para el efecto, del propietario del bien y/o de un tercero con independencia de su naturaleza pública o privada, natural o jurídica.</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Cuando la iniciativa provenga del propietario o de un tercero, la solicitud debe formularse ante la autoridad competente de efectuar la declaratoria.</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Si el bien requiere la formulación de PEMP a juicio de la autoridad competente según lo señalado en el artículo anterior, el propietario o interesado deberán formularlo. Durante este período la autoridad competente no perderá la facultad de formular oficiosamente el PEMP de lo cual informará oportunamente al autor de la iniciativa.</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b/>
          <w:i/>
        </w:rPr>
      </w:pPr>
      <w:r w:rsidRPr="00A64D4B">
        <w:rPr>
          <w:rFonts w:eastAsia="Times New Roman"/>
          <w:i/>
        </w:rPr>
        <w:t>El Ministerio de Cultura establecerá, de conformidad con las facultades que le otorga la Ley 1185 de 2008, los requisitos técnicos y administrativos que deberá cumplir quien solicite una declaratoria de BIC.</w:t>
      </w:r>
    </w:p>
    <w:p w:rsidR="00A64D4B" w:rsidRPr="00A64D4B" w:rsidRDefault="00A64D4B" w:rsidP="00A64D4B">
      <w:pPr>
        <w:jc w:val="both"/>
        <w:rPr>
          <w:rFonts w:eastAsia="Times New Roman"/>
          <w:b/>
          <w:i/>
        </w:rPr>
      </w:pPr>
    </w:p>
    <w:p w:rsidR="00A64D4B" w:rsidRPr="00A64D4B" w:rsidRDefault="00A64D4B" w:rsidP="00A64D4B">
      <w:pPr>
        <w:jc w:val="both"/>
        <w:rPr>
          <w:rFonts w:eastAsia="Times New Roman"/>
          <w:b/>
        </w:rPr>
      </w:pPr>
      <w:r w:rsidRPr="00A64D4B">
        <w:rPr>
          <w:rFonts w:eastAsia="Times New Roman"/>
          <w:b/>
        </w:rPr>
        <w:t>Decreto 2358 de 2019</w:t>
      </w:r>
    </w:p>
    <w:p w:rsidR="00A64D4B" w:rsidRPr="00A64D4B" w:rsidRDefault="00A64D4B" w:rsidP="00A64D4B">
      <w:pPr>
        <w:jc w:val="both"/>
        <w:rPr>
          <w:rFonts w:eastAsia="Times New Roman"/>
          <w:b/>
        </w:rPr>
      </w:pPr>
      <w:r w:rsidRPr="00A64D4B">
        <w:rPr>
          <w:rFonts w:eastAsia="Times New Roman"/>
          <w:b/>
          <w:i/>
        </w:rPr>
        <w:t>“</w:t>
      </w:r>
      <w:r w:rsidRPr="00A64D4B">
        <w:rPr>
          <w:rFonts w:eastAsia="Times New Roman"/>
          <w:b/>
        </w:rPr>
        <w:t>Por el cual se modifica y adiciona el Decreto 1080 de 2015, Decreto Único Reglamentario del Sector Cultura, en lo relacionado con el Patrimonio Cultural Material e Inmaterial”</w:t>
      </w:r>
    </w:p>
    <w:p w:rsidR="00A64D4B" w:rsidRPr="00A64D4B" w:rsidRDefault="00A64D4B" w:rsidP="00A64D4B">
      <w:pPr>
        <w:jc w:val="both"/>
        <w:rPr>
          <w:rFonts w:eastAsia="Times New Roman"/>
          <w:b/>
        </w:rPr>
      </w:pPr>
    </w:p>
    <w:p w:rsidR="00A64D4B" w:rsidRPr="00A64D4B" w:rsidRDefault="00A64D4B" w:rsidP="00A64D4B">
      <w:pPr>
        <w:ind w:left="720"/>
        <w:jc w:val="both"/>
        <w:rPr>
          <w:rFonts w:eastAsia="Times New Roman"/>
          <w:i/>
        </w:rPr>
      </w:pPr>
      <w:r w:rsidRPr="00A64D4B">
        <w:rPr>
          <w:rFonts w:eastAsia="Times New Roman"/>
          <w:b/>
        </w:rPr>
        <w:t>Artículo 1.</w:t>
      </w:r>
      <w:r w:rsidRPr="00A64D4B">
        <w:rPr>
          <w:rFonts w:eastAsia="Times New Roman"/>
        </w:rPr>
        <w:t xml:space="preserve"> </w:t>
      </w:r>
      <w:r w:rsidRPr="00A64D4B">
        <w:rPr>
          <w:rFonts w:eastAsia="Times New Roman"/>
          <w:i/>
        </w:rPr>
        <w:t>“Modificación del artículo 2.3.1.1 del Título 1 de la Parte 3 del Libro 2 del Decreto 1080 de 2015, Único Reglamentario del Sector Cultura, el cual quedará así:</w:t>
      </w:r>
    </w:p>
    <w:p w:rsidR="00A64D4B" w:rsidRPr="00A64D4B" w:rsidRDefault="00A64D4B" w:rsidP="00A64D4B">
      <w:pPr>
        <w:jc w:val="both"/>
        <w:rPr>
          <w:rFonts w:eastAsia="Times New Roman"/>
        </w:rPr>
      </w:pPr>
    </w:p>
    <w:p w:rsidR="00A64D4B" w:rsidRPr="00A64D4B" w:rsidRDefault="00A64D4B" w:rsidP="00A64D4B">
      <w:pPr>
        <w:ind w:left="720"/>
        <w:jc w:val="both"/>
        <w:rPr>
          <w:rFonts w:eastAsia="Times New Roman"/>
          <w:i/>
        </w:rPr>
      </w:pPr>
      <w:r w:rsidRPr="00A64D4B">
        <w:rPr>
          <w:rFonts w:eastAsia="Times New Roman"/>
          <w:b/>
        </w:rPr>
        <w:t xml:space="preserve">Artículo 2.3.1.1. Sistema Nacional de Patrimonio Cultural de la Nación. </w:t>
      </w:r>
      <w:r w:rsidRPr="00A64D4B">
        <w:rPr>
          <w:rFonts w:eastAsia="Times New Roman"/>
          <w:i/>
        </w:rPr>
        <w:t xml:space="preserve">“(...) El SNPCN tiene por objeto contribuir a la valoración, la preservación, la salvaguardia, la protección, la recuperación, la conservación, la sostenibilidad, la divulgación y la apropiación social del patrimonio cultural de acuerdo con lo establecido en la Constitución Política y en la legislación </w:t>
      </w:r>
      <w:r w:rsidRPr="00A64D4B">
        <w:rPr>
          <w:rFonts w:eastAsia="Times New Roman"/>
          <w:i/>
        </w:rPr>
        <w:lastRenderedPageBreak/>
        <w:t>en particular, en la Ley 397 de 1997, modificada y adicionada por la Ley 1185 de 2008, y bajo los principios de descentralización, diversidad, participación, coordinación y autonomía (...)</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b/>
        </w:rPr>
        <w:t>Artículo 2.</w:t>
      </w:r>
      <w:r w:rsidRPr="00A64D4B">
        <w:rPr>
          <w:rFonts w:eastAsia="Times New Roman"/>
          <w:i/>
        </w:rPr>
        <w:t xml:space="preserve"> “Modificación al artículo 2.3.1.3. del Título 1 de la Parte 3 del Libro 2 del Decreto 1080 de 2015, Único Reglamentario del Sector Cultura, el cual quedará así:</w:t>
      </w:r>
    </w:p>
    <w:p w:rsidR="00FE5924" w:rsidRDefault="00FE5924" w:rsidP="00A64D4B">
      <w:pPr>
        <w:ind w:left="720"/>
        <w:jc w:val="both"/>
        <w:rPr>
          <w:rFonts w:eastAsia="Times New Roman"/>
          <w:b/>
        </w:rPr>
      </w:pPr>
    </w:p>
    <w:p w:rsidR="00A64D4B" w:rsidRPr="00A64D4B" w:rsidRDefault="00A64D4B" w:rsidP="00A64D4B">
      <w:pPr>
        <w:ind w:left="720"/>
        <w:jc w:val="both"/>
        <w:rPr>
          <w:rFonts w:eastAsia="Times New Roman"/>
          <w:i/>
        </w:rPr>
      </w:pPr>
      <w:r w:rsidRPr="00A64D4B">
        <w:rPr>
          <w:rFonts w:eastAsia="Times New Roman"/>
          <w:b/>
        </w:rPr>
        <w:t>Artículo 2.3.1.3. Competencias institucionales públicas.</w:t>
      </w:r>
      <w:r w:rsidRPr="00A64D4B">
        <w:rPr>
          <w:rFonts w:eastAsia="Times New Roman"/>
          <w:i/>
        </w:rPr>
        <w:t xml:space="preserve"> Para los fines de este decreto, son entidades públicas del Sistema Nacional de Patrimonio Cultural de la Nación, el Ministerio de Cultura, el Instituto Colombiano de Antropología e Historia, el Archivo General de la Nación, el Instituto Caro y Cuervo, el Consejo Nacional de Patrimonio Cultural, los departamentos, los distritos y municipios, las autoridades indígenas, las autoridades de que trata la Ley 70 de 1993 y, en general, las entidades estatales que a nivel nacional y territorial desarrollan, financian, fomentan o ejecutan actividades referentes al Patrimonio Cultural de la Nación.</w:t>
      </w:r>
      <w:r w:rsidRPr="00A64D4B">
        <w:rPr>
          <w:rFonts w:eastAsia="Times New Roman"/>
          <w:i/>
        </w:rPr>
        <w:br/>
        <w:t>(...)</w:t>
      </w:r>
    </w:p>
    <w:p w:rsidR="00A64D4B" w:rsidRDefault="00A64D4B" w:rsidP="00A64D4B">
      <w:pPr>
        <w:ind w:left="720"/>
        <w:jc w:val="both"/>
        <w:rPr>
          <w:rFonts w:eastAsia="Times New Roman"/>
          <w:i/>
        </w:rPr>
      </w:pPr>
    </w:p>
    <w:p w:rsidR="00A64D4B" w:rsidRPr="00A64D4B" w:rsidRDefault="00A64D4B" w:rsidP="00A64D4B">
      <w:pPr>
        <w:ind w:left="720"/>
        <w:jc w:val="both"/>
        <w:rPr>
          <w:rFonts w:eastAsia="Times New Roman"/>
          <w:b/>
          <w:i/>
        </w:rPr>
      </w:pPr>
      <w:r w:rsidRPr="00A64D4B">
        <w:rPr>
          <w:rFonts w:eastAsia="Times New Roman"/>
          <w:i/>
        </w:rPr>
        <w:t xml:space="preserve">(...) </w:t>
      </w:r>
      <w:r w:rsidRPr="00A64D4B">
        <w:rPr>
          <w:rFonts w:eastAsia="Times New Roman"/>
          <w:b/>
          <w:i/>
        </w:rPr>
        <w:t>5. De los distritos.</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 xml:space="preserve">A los distritos a través de la respectiva alcaldía distrital, de conformidad con el artículo 8º de la ley 397 de 1997, modificado por el artículo 5° de la Ley 1185 de 2008, les corresponde cumplir respecto de los BIC del ámbito distrital que declare o pretenda declarar como tales, competencias análogas a las señaladas en el numeral 1.2 y sus </w:t>
      </w:r>
      <w:proofErr w:type="spellStart"/>
      <w:r w:rsidRPr="00A64D4B">
        <w:rPr>
          <w:rFonts w:eastAsia="Times New Roman"/>
          <w:i/>
        </w:rPr>
        <w:t>subnumerales</w:t>
      </w:r>
      <w:proofErr w:type="spellEnd"/>
      <w:r w:rsidRPr="00A64D4B">
        <w:rPr>
          <w:rFonts w:eastAsia="Times New Roman"/>
          <w:i/>
        </w:rPr>
        <w:t xml:space="preserve"> de este artículo.</w:t>
      </w:r>
    </w:p>
    <w:p w:rsidR="00A64D4B" w:rsidRPr="00A64D4B" w:rsidRDefault="00A64D4B" w:rsidP="00A64D4B">
      <w:pPr>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También aplicarán dichas competencias respecto de los bienes declarados como monumentos, áreas de conservación histórica o arquitectónica, conjuntos históricos u otras denominaciones efectuadas por los concejos distritales o alcaldías, homologadas a BIC de conformidad con lo establecido en el artículo 4° de la Ley 397 de 1997, modificado por el artículo 1° de la Ley 1185 de 2008, literal "b”.</w:t>
      </w:r>
    </w:p>
    <w:p w:rsidR="00A64D4B" w:rsidRPr="00A64D4B" w:rsidRDefault="00A64D4B" w:rsidP="00A64D4B">
      <w:pPr>
        <w:ind w:left="720"/>
        <w:jc w:val="both"/>
        <w:rPr>
          <w:rFonts w:eastAsia="Times New Roman"/>
          <w:i/>
        </w:rPr>
      </w:pPr>
    </w:p>
    <w:p w:rsidR="00A64D4B" w:rsidRPr="00A64D4B" w:rsidRDefault="00A64D4B" w:rsidP="00A64D4B">
      <w:pPr>
        <w:ind w:left="720"/>
        <w:jc w:val="both"/>
        <w:rPr>
          <w:rFonts w:eastAsia="Times New Roman"/>
          <w:i/>
        </w:rPr>
      </w:pPr>
      <w:r w:rsidRPr="00A64D4B">
        <w:rPr>
          <w:rFonts w:eastAsia="Times New Roman"/>
          <w:i/>
        </w:rPr>
        <w:t>Del mismo modo les compete, en coordinación con el respectivo Concejo Distrital, destinar los recursos que las leyes y los presupuestos correspondientes señalan para las acciones relativas al Patrimonio Cultural de la Nación en lo de su competencia.”</w:t>
      </w:r>
    </w:p>
    <w:p w:rsidR="00D520C9" w:rsidRDefault="00D520C9" w:rsidP="00A64D4B">
      <w:pPr>
        <w:jc w:val="both"/>
        <w:rPr>
          <w:rFonts w:eastAsia="Times New Roman"/>
          <w:i/>
        </w:rPr>
      </w:pPr>
    </w:p>
    <w:p w:rsidR="00A64D4B" w:rsidRPr="00A64D4B" w:rsidRDefault="00FE5924" w:rsidP="00A64D4B">
      <w:pPr>
        <w:jc w:val="both"/>
        <w:rPr>
          <w:rFonts w:eastAsia="Times New Roman"/>
          <w:b/>
        </w:rPr>
      </w:pPr>
      <w:r>
        <w:rPr>
          <w:rFonts w:eastAsia="Times New Roman"/>
          <w:b/>
        </w:rPr>
        <w:t>3</w:t>
      </w:r>
      <w:r w:rsidR="00A64D4B" w:rsidRPr="00A64D4B">
        <w:rPr>
          <w:rFonts w:eastAsia="Times New Roman"/>
          <w:b/>
        </w:rPr>
        <w:t>.2.5. NORMAS DISTRITALES</w:t>
      </w:r>
    </w:p>
    <w:p w:rsidR="00A64D4B" w:rsidRPr="00A64D4B" w:rsidRDefault="00A64D4B" w:rsidP="00A64D4B">
      <w:pPr>
        <w:jc w:val="both"/>
        <w:rPr>
          <w:rFonts w:eastAsia="Times New Roman"/>
          <w:b/>
        </w:rPr>
      </w:pPr>
    </w:p>
    <w:p w:rsidR="00A64D4B" w:rsidRPr="00A64D4B" w:rsidRDefault="00FE5924" w:rsidP="00A64D4B">
      <w:pPr>
        <w:jc w:val="both"/>
        <w:rPr>
          <w:rFonts w:eastAsia="Times New Roman"/>
          <w:b/>
        </w:rPr>
      </w:pPr>
      <w:r>
        <w:rPr>
          <w:rFonts w:eastAsia="Times New Roman"/>
          <w:b/>
        </w:rPr>
        <w:t>3</w:t>
      </w:r>
      <w:r w:rsidR="00A64D4B" w:rsidRPr="00A64D4B">
        <w:rPr>
          <w:rFonts w:eastAsia="Times New Roman"/>
          <w:b/>
        </w:rPr>
        <w:t>.2.5.1. DECRETOS</w:t>
      </w:r>
    </w:p>
    <w:p w:rsidR="00A64D4B" w:rsidRPr="00A64D4B" w:rsidRDefault="00A64D4B" w:rsidP="00A64D4B">
      <w:pPr>
        <w:jc w:val="both"/>
        <w:rPr>
          <w:rFonts w:eastAsia="Times New Roman"/>
          <w:b/>
        </w:rPr>
      </w:pPr>
    </w:p>
    <w:p w:rsidR="00A64D4B" w:rsidRPr="00A64D4B" w:rsidRDefault="00A64D4B" w:rsidP="00A64D4B">
      <w:pPr>
        <w:jc w:val="both"/>
        <w:rPr>
          <w:rFonts w:eastAsia="Times New Roman"/>
          <w:b/>
        </w:rPr>
      </w:pPr>
      <w:r w:rsidRPr="00A64D4B">
        <w:rPr>
          <w:rFonts w:eastAsia="Times New Roman"/>
          <w:b/>
        </w:rPr>
        <w:t>Decreto 124 de 1998</w:t>
      </w:r>
    </w:p>
    <w:p w:rsidR="00A64D4B" w:rsidRPr="00A64D4B" w:rsidRDefault="00A64D4B" w:rsidP="00A64D4B">
      <w:pPr>
        <w:jc w:val="both"/>
        <w:rPr>
          <w:rFonts w:eastAsia="Times New Roman"/>
          <w:b/>
        </w:rPr>
      </w:pPr>
      <w:r w:rsidRPr="00A64D4B">
        <w:rPr>
          <w:rFonts w:eastAsia="Times New Roman"/>
          <w:b/>
        </w:rPr>
        <w:t>“Por el cual el cual se reglamenta el contenido de las placas conmemorativas”</w:t>
      </w:r>
    </w:p>
    <w:p w:rsidR="00A64D4B" w:rsidRPr="00A64D4B" w:rsidRDefault="00A64D4B" w:rsidP="00A64D4B">
      <w:pPr>
        <w:jc w:val="both"/>
        <w:rPr>
          <w:rFonts w:eastAsia="Times New Roman"/>
          <w:b/>
        </w:rPr>
      </w:pPr>
    </w:p>
    <w:p w:rsidR="00A64D4B" w:rsidRPr="00A64D4B" w:rsidRDefault="00A64D4B" w:rsidP="00A64D4B">
      <w:pPr>
        <w:ind w:left="720"/>
        <w:jc w:val="both"/>
        <w:rPr>
          <w:rFonts w:eastAsia="Times New Roman"/>
          <w:i/>
        </w:rPr>
      </w:pPr>
      <w:r w:rsidRPr="00A64D4B">
        <w:rPr>
          <w:rFonts w:eastAsia="Times New Roman"/>
          <w:b/>
        </w:rPr>
        <w:t xml:space="preserve">Artículo 1. </w:t>
      </w:r>
      <w:r w:rsidRPr="00A64D4B">
        <w:rPr>
          <w:rFonts w:eastAsia="Times New Roman"/>
          <w:i/>
        </w:rPr>
        <w:t>“Las placas conmemorativas que se instalen a partir de la fecha de expedición de este Decreto, sobre las obras públicas realizadas en el Distrito Capital sólo contendrán como información la denominación de la obra y la fecha.”</w:t>
      </w:r>
    </w:p>
    <w:p w:rsidR="00A64D4B" w:rsidRPr="00A64D4B" w:rsidRDefault="00A64D4B" w:rsidP="00A64D4B">
      <w:pPr>
        <w:rPr>
          <w:rFonts w:eastAsia="Times New Roman"/>
        </w:rPr>
      </w:pPr>
    </w:p>
    <w:p w:rsidR="00A64D4B" w:rsidRPr="00A64D4B" w:rsidRDefault="00A64D4B" w:rsidP="00A64D4B">
      <w:pPr>
        <w:jc w:val="both"/>
        <w:rPr>
          <w:rFonts w:eastAsia="Times New Roman"/>
          <w:b/>
        </w:rPr>
      </w:pPr>
      <w:r w:rsidRPr="00A64D4B">
        <w:rPr>
          <w:rFonts w:eastAsia="Times New Roman"/>
          <w:b/>
        </w:rPr>
        <w:t>Decreto 149 de 2019</w:t>
      </w:r>
    </w:p>
    <w:p w:rsidR="00A64D4B" w:rsidRPr="00A64D4B" w:rsidRDefault="00A64D4B" w:rsidP="00A64D4B">
      <w:pPr>
        <w:jc w:val="both"/>
        <w:rPr>
          <w:rFonts w:eastAsia="Times New Roman"/>
          <w:b/>
        </w:rPr>
      </w:pPr>
      <w:r w:rsidRPr="00A64D4B">
        <w:rPr>
          <w:rFonts w:eastAsia="Times New Roman"/>
          <w:b/>
        </w:rPr>
        <w:t>“Por medio del cual se establece la conformación y funcionamiento del Comité Distrital del Espacio Público, la operación de la Ventanilla Única de Implantaciones Artísticas en el Espacio Público VIARTE y se dictan otras disposiciones”</w:t>
      </w:r>
    </w:p>
    <w:p w:rsidR="00A64D4B" w:rsidRPr="00A64D4B" w:rsidRDefault="00A64D4B" w:rsidP="00A64D4B">
      <w:pPr>
        <w:jc w:val="both"/>
        <w:rPr>
          <w:rFonts w:eastAsia="Times New Roman"/>
          <w:b/>
        </w:rPr>
      </w:pPr>
    </w:p>
    <w:p w:rsidR="00A64D4B" w:rsidRPr="00A64D4B" w:rsidRDefault="00A64D4B" w:rsidP="00A64D4B">
      <w:pPr>
        <w:ind w:left="720"/>
        <w:jc w:val="both"/>
        <w:rPr>
          <w:rFonts w:eastAsia="Times New Roman"/>
        </w:rPr>
      </w:pPr>
      <w:r w:rsidRPr="00A64D4B">
        <w:rPr>
          <w:rFonts w:eastAsia="Times New Roman"/>
        </w:rPr>
        <w:t xml:space="preserve">En el marco de las disposiciones del Decreto en mención, se estableció que el Comité Distrital del Espacio Público, </w:t>
      </w:r>
      <w:r w:rsidRPr="00A64D4B">
        <w:rPr>
          <w:rFonts w:eastAsia="Times New Roman"/>
          <w:i/>
          <w:iCs/>
        </w:rPr>
        <w:t xml:space="preserve">“es el responsable de emitir concepto sobre los fundamentos teóricos, </w:t>
      </w:r>
      <w:r w:rsidRPr="00A64D4B">
        <w:rPr>
          <w:rFonts w:eastAsia="Times New Roman"/>
          <w:i/>
          <w:iCs/>
        </w:rPr>
        <w:lastRenderedPageBreak/>
        <w:t>artísticos, patrimoniales, urbanos y técnicos necesarios para garantizar la pertinencia y calidad de la implantación de expresiones artísticas de carácter permanente en el espacio público de la ciudad, en el marco del Plan de Ordenamiento Territorial de Bogotá y demás normas que rigen la materia”.</w:t>
      </w:r>
      <w:r w:rsidRPr="00A64D4B">
        <w:rPr>
          <w:rFonts w:eastAsia="Times New Roman"/>
        </w:rPr>
        <w:t xml:space="preserve"> El Comité Distrital del Espacio Público, estará conformado por:</w:t>
      </w:r>
    </w:p>
    <w:p w:rsidR="00A64D4B" w:rsidRPr="00A64D4B" w:rsidRDefault="00A64D4B" w:rsidP="00A64D4B">
      <w:pPr>
        <w:ind w:left="720"/>
        <w:jc w:val="both"/>
        <w:rPr>
          <w:rFonts w:eastAsia="Times New Roman"/>
        </w:rPr>
      </w:pPr>
    </w:p>
    <w:p w:rsidR="00A64D4B" w:rsidRPr="00A64D4B" w:rsidRDefault="00A64D4B" w:rsidP="00A64D4B">
      <w:pPr>
        <w:ind w:left="720"/>
        <w:jc w:val="both"/>
        <w:rPr>
          <w:rFonts w:eastAsia="Times New Roman"/>
        </w:rPr>
      </w:pPr>
      <w:r w:rsidRPr="00A64D4B">
        <w:rPr>
          <w:rFonts w:eastAsia="Times New Roman"/>
        </w:rPr>
        <w:t>El (la) Secretario (a) Distrital de Cultura, Recreación y Deporte quien lo preside.</w:t>
      </w:r>
    </w:p>
    <w:p w:rsidR="00A64D4B" w:rsidRPr="00A64D4B" w:rsidRDefault="00A64D4B" w:rsidP="00A64D4B">
      <w:pPr>
        <w:ind w:left="720"/>
        <w:jc w:val="both"/>
        <w:rPr>
          <w:rFonts w:eastAsia="Times New Roman"/>
        </w:rPr>
      </w:pPr>
      <w:r w:rsidRPr="00A64D4B">
        <w:rPr>
          <w:rFonts w:eastAsia="Times New Roman"/>
        </w:rPr>
        <w:t>El (la) Subdirector (a) de Gestión Cultural y Artística de la SCRD quien ejerce la</w:t>
      </w:r>
    </w:p>
    <w:p w:rsidR="00A64D4B" w:rsidRPr="00A64D4B" w:rsidRDefault="00A64D4B" w:rsidP="00A64D4B">
      <w:pPr>
        <w:ind w:left="720"/>
        <w:jc w:val="both"/>
        <w:rPr>
          <w:rFonts w:eastAsia="Times New Roman"/>
        </w:rPr>
      </w:pPr>
      <w:r w:rsidRPr="00A64D4B">
        <w:rPr>
          <w:rFonts w:eastAsia="Times New Roman"/>
        </w:rPr>
        <w:t>Secretaría Técnica.</w:t>
      </w:r>
    </w:p>
    <w:p w:rsidR="00A64D4B" w:rsidRPr="00A64D4B" w:rsidRDefault="00A64D4B" w:rsidP="00A64D4B">
      <w:pPr>
        <w:ind w:left="720"/>
        <w:jc w:val="both"/>
        <w:rPr>
          <w:rFonts w:eastAsia="Times New Roman"/>
        </w:rPr>
      </w:pPr>
      <w:r w:rsidRPr="00A64D4B">
        <w:rPr>
          <w:rFonts w:eastAsia="Times New Roman"/>
        </w:rPr>
        <w:t>El (la) Secretario (a) Distrital de Planeación</w:t>
      </w:r>
    </w:p>
    <w:p w:rsidR="00A64D4B" w:rsidRPr="00A64D4B" w:rsidRDefault="00A64D4B" w:rsidP="00A64D4B">
      <w:pPr>
        <w:ind w:left="720"/>
        <w:jc w:val="both"/>
        <w:rPr>
          <w:rFonts w:eastAsia="Times New Roman"/>
        </w:rPr>
      </w:pPr>
      <w:r w:rsidRPr="00A64D4B">
        <w:rPr>
          <w:rFonts w:eastAsia="Times New Roman"/>
        </w:rPr>
        <w:t>El (la) Director (a) del IDARTES.</w:t>
      </w:r>
    </w:p>
    <w:p w:rsidR="00A64D4B" w:rsidRPr="00A64D4B" w:rsidRDefault="00A64D4B" w:rsidP="00A64D4B">
      <w:pPr>
        <w:ind w:left="720"/>
        <w:jc w:val="both"/>
        <w:rPr>
          <w:rFonts w:eastAsia="Times New Roman"/>
        </w:rPr>
      </w:pPr>
      <w:r w:rsidRPr="00A64D4B">
        <w:rPr>
          <w:rFonts w:eastAsia="Times New Roman"/>
        </w:rPr>
        <w:t>El (la) Director (a) del IDPC.</w:t>
      </w:r>
    </w:p>
    <w:p w:rsidR="00A64D4B" w:rsidRPr="00A64D4B" w:rsidRDefault="00A64D4B" w:rsidP="00A64D4B">
      <w:pPr>
        <w:ind w:left="720"/>
        <w:jc w:val="both"/>
        <w:rPr>
          <w:rFonts w:eastAsia="Times New Roman"/>
        </w:rPr>
      </w:pPr>
      <w:r w:rsidRPr="00A64D4B">
        <w:rPr>
          <w:rFonts w:eastAsia="Times New Roman"/>
        </w:rPr>
        <w:t>El (la) Director (a) del DADEP.</w:t>
      </w:r>
    </w:p>
    <w:p w:rsidR="00A64D4B" w:rsidRPr="00A64D4B" w:rsidRDefault="00A64D4B" w:rsidP="00A64D4B">
      <w:pPr>
        <w:ind w:left="720"/>
        <w:jc w:val="both"/>
        <w:rPr>
          <w:rFonts w:eastAsia="Times New Roman"/>
        </w:rPr>
      </w:pPr>
      <w:r w:rsidRPr="00A64D4B">
        <w:rPr>
          <w:rFonts w:eastAsia="Times New Roman"/>
        </w:rPr>
        <w:t>El (la) Director (a) del IDU.</w:t>
      </w:r>
    </w:p>
    <w:p w:rsidR="00A64D4B" w:rsidRPr="00A64D4B" w:rsidRDefault="00A64D4B" w:rsidP="00A64D4B">
      <w:pPr>
        <w:ind w:left="720"/>
        <w:jc w:val="both"/>
        <w:rPr>
          <w:rFonts w:eastAsia="Times New Roman"/>
        </w:rPr>
      </w:pPr>
      <w:r w:rsidRPr="00A64D4B">
        <w:rPr>
          <w:rFonts w:eastAsia="Times New Roman"/>
        </w:rPr>
        <w:t>Dos (2) delegados de las instituciones de educación superior que tengan programas en artes plásticas y visuales en el Distrito Capital.</w:t>
      </w:r>
    </w:p>
    <w:p w:rsidR="00A64D4B" w:rsidRDefault="00A64D4B" w:rsidP="00A64D4B">
      <w:pPr>
        <w:ind w:left="720"/>
        <w:jc w:val="both"/>
        <w:rPr>
          <w:rFonts w:eastAsia="Times New Roman"/>
        </w:rPr>
      </w:pPr>
    </w:p>
    <w:p w:rsidR="00A64D4B" w:rsidRPr="00A64D4B" w:rsidRDefault="00A64D4B" w:rsidP="00A64D4B">
      <w:pPr>
        <w:ind w:left="720"/>
        <w:jc w:val="both"/>
        <w:rPr>
          <w:rFonts w:eastAsia="Times New Roman"/>
        </w:rPr>
      </w:pPr>
      <w:r w:rsidRPr="00A64D4B">
        <w:rPr>
          <w:rFonts w:eastAsia="Times New Roman"/>
        </w:rPr>
        <w:t>En el marco del Comité Distrital del Espacio Público, se realizan Mesas de Apoyo Técnico MAT, para brindar orientación técnica y jurídica a las personas naturales, jurídicas y entidades del orden distrital, nacional e internacional interesadas en la implantación de expresiones artísticas en el espacio público del Distrito Capital, para la construcción del proyecto que se debe radicar en la VIARTE y posterior aprobación por los miembros del Comité.</w:t>
      </w:r>
    </w:p>
    <w:p w:rsidR="00A64D4B" w:rsidRPr="00A64D4B" w:rsidRDefault="00A64D4B" w:rsidP="00A64D4B">
      <w:pPr>
        <w:ind w:left="720"/>
        <w:jc w:val="both"/>
        <w:rPr>
          <w:rFonts w:eastAsia="Times New Roman"/>
        </w:rPr>
      </w:pPr>
    </w:p>
    <w:p w:rsidR="00A64D4B" w:rsidRPr="00A64D4B" w:rsidRDefault="00A64D4B" w:rsidP="00A64D4B">
      <w:pPr>
        <w:ind w:left="720"/>
        <w:jc w:val="both"/>
        <w:rPr>
          <w:rFonts w:eastAsia="Times New Roman"/>
          <w:b/>
          <w:color w:val="38761D"/>
        </w:rPr>
      </w:pPr>
      <w:r w:rsidRPr="00A64D4B">
        <w:rPr>
          <w:rFonts w:eastAsia="Times New Roman"/>
        </w:rPr>
        <w:t>Posterior a la aprobación del Comité y una vez la Secretaría Distrital de Cultura, Recreación y Deporte expida el acto administrativo adoptando la decisión; el interesado deberá tramitar la Licencia de intervención y ocupación del espacio público, de conformidad con lo establecido en el Plan de Ordenamiento Territorial de Bogotá.</w:t>
      </w:r>
    </w:p>
    <w:p w:rsidR="00A64D4B" w:rsidRDefault="00A64D4B" w:rsidP="00A64D4B">
      <w:pPr>
        <w:jc w:val="both"/>
        <w:rPr>
          <w:rFonts w:eastAsia="Times New Roman"/>
        </w:rPr>
      </w:pPr>
    </w:p>
    <w:p w:rsidR="00A64D4B" w:rsidRPr="00A64D4B" w:rsidRDefault="00A64D4B" w:rsidP="00A64D4B">
      <w:pPr>
        <w:jc w:val="both"/>
        <w:rPr>
          <w:rFonts w:eastAsia="Times New Roman"/>
          <w:b/>
        </w:rPr>
      </w:pPr>
      <w:r w:rsidRPr="00A64D4B">
        <w:rPr>
          <w:rFonts w:eastAsia="Times New Roman"/>
          <w:b/>
        </w:rPr>
        <w:t>Decreto 522 de 2023</w:t>
      </w:r>
    </w:p>
    <w:p w:rsidR="00A64D4B" w:rsidRPr="00A64D4B" w:rsidRDefault="00A64D4B" w:rsidP="00A64D4B">
      <w:pPr>
        <w:jc w:val="both"/>
        <w:rPr>
          <w:rFonts w:eastAsia="Times New Roman"/>
          <w:b/>
        </w:rPr>
      </w:pPr>
      <w:r w:rsidRPr="00A64D4B">
        <w:rPr>
          <w:rFonts w:eastAsia="Times New Roman"/>
          <w:b/>
        </w:rPr>
        <w:t>“Por medio del cual se reglamenta el Sistema Distrital de Patrimonio Cultural y se dictan otras disposiciones”</w:t>
      </w:r>
    </w:p>
    <w:p w:rsidR="00A64D4B" w:rsidRPr="00A64D4B" w:rsidRDefault="00A64D4B" w:rsidP="00A64D4B">
      <w:pPr>
        <w:jc w:val="both"/>
        <w:rPr>
          <w:rFonts w:eastAsia="Times New Roman"/>
          <w:b/>
        </w:rPr>
      </w:pPr>
    </w:p>
    <w:p w:rsidR="00A64D4B" w:rsidRPr="00A64D4B" w:rsidRDefault="00A64D4B" w:rsidP="00A64D4B">
      <w:pPr>
        <w:ind w:left="720"/>
        <w:jc w:val="both"/>
        <w:rPr>
          <w:rFonts w:eastAsia="Times New Roman"/>
        </w:rPr>
      </w:pPr>
      <w:r w:rsidRPr="00A64D4B">
        <w:rPr>
          <w:rFonts w:eastAsia="Times New Roman"/>
        </w:rPr>
        <w:t xml:space="preserve">A través del Decreto en mención, se asigna a la Secretaría de Cultura, Recreación y Deporte, según el artículo cuarto, entre otros, las siguientes funciones: </w:t>
      </w:r>
    </w:p>
    <w:p w:rsidR="00A64D4B" w:rsidRPr="00A64D4B" w:rsidRDefault="00A64D4B" w:rsidP="00A64D4B">
      <w:pPr>
        <w:ind w:left="720"/>
        <w:jc w:val="both"/>
        <w:rPr>
          <w:rFonts w:eastAsia="Times New Roman"/>
          <w:b/>
        </w:rPr>
      </w:pPr>
    </w:p>
    <w:p w:rsidR="00A64D4B" w:rsidRPr="00A64D4B" w:rsidRDefault="00A64D4B" w:rsidP="00A64D4B">
      <w:pPr>
        <w:ind w:left="720"/>
        <w:jc w:val="both"/>
        <w:rPr>
          <w:rFonts w:eastAsia="Times New Roman"/>
          <w:b/>
          <w:i/>
        </w:rPr>
      </w:pPr>
      <w:r w:rsidRPr="00A64D4B">
        <w:rPr>
          <w:rFonts w:eastAsia="Times New Roman"/>
          <w:b/>
          <w:i/>
        </w:rPr>
        <w:t xml:space="preserve">“(...) 4.2. Competencias específicas frente al patrimonio cultural del Distrito Capital </w:t>
      </w:r>
    </w:p>
    <w:p w:rsidR="00A64D4B" w:rsidRPr="00A64D4B" w:rsidRDefault="00A64D4B" w:rsidP="00A64D4B">
      <w:pPr>
        <w:ind w:left="720"/>
        <w:jc w:val="both"/>
        <w:rPr>
          <w:rFonts w:eastAsia="Times New Roman"/>
          <w:b/>
          <w:i/>
        </w:rPr>
      </w:pPr>
    </w:p>
    <w:p w:rsidR="00A64D4B" w:rsidRPr="00A64D4B" w:rsidRDefault="00A64D4B" w:rsidP="00A64D4B">
      <w:pPr>
        <w:ind w:left="720"/>
        <w:jc w:val="both"/>
        <w:rPr>
          <w:rFonts w:eastAsia="Times New Roman"/>
          <w:i/>
        </w:rPr>
      </w:pPr>
      <w:r w:rsidRPr="00A64D4B">
        <w:rPr>
          <w:rFonts w:eastAsia="Times New Roman"/>
          <w:i/>
        </w:rPr>
        <w:t xml:space="preserve">a. Realizar la inclusión en la Lista Indicativa de Candidatos a Bienes de Interés Cultural del ámbito distrital, de los bienes que podrían llegar a ser declarados como tal. </w:t>
      </w:r>
    </w:p>
    <w:p w:rsidR="00A64D4B" w:rsidRPr="00A64D4B" w:rsidRDefault="00A64D4B" w:rsidP="00A64D4B">
      <w:pPr>
        <w:ind w:left="720"/>
        <w:jc w:val="both"/>
        <w:rPr>
          <w:rFonts w:eastAsia="Times New Roman"/>
          <w:i/>
        </w:rPr>
      </w:pPr>
      <w:r w:rsidRPr="00A64D4B">
        <w:rPr>
          <w:rFonts w:eastAsia="Times New Roman"/>
          <w:i/>
        </w:rPr>
        <w:t>(...) c. Efectuar la declaratoria o revocatoria de los bienes de interés cultural del ámbito distrital o modificación del nivel de intervención de los mismos, previo concepto del Consejo Distrital de Patrimonio Cultural.”</w:t>
      </w:r>
    </w:p>
    <w:p w:rsidR="00A64D4B" w:rsidRPr="00A64D4B" w:rsidRDefault="00A64D4B" w:rsidP="00A64D4B">
      <w:pPr>
        <w:jc w:val="both"/>
        <w:rPr>
          <w:rFonts w:eastAsia="Times New Roman"/>
          <w:i/>
        </w:rPr>
      </w:pPr>
    </w:p>
    <w:p w:rsidR="00A64D4B" w:rsidRPr="00A64D4B" w:rsidRDefault="00FE5924" w:rsidP="00A64D4B">
      <w:pPr>
        <w:jc w:val="both"/>
        <w:rPr>
          <w:rFonts w:eastAsia="Times New Roman"/>
          <w:b/>
        </w:rPr>
      </w:pPr>
      <w:r>
        <w:rPr>
          <w:rFonts w:eastAsia="Times New Roman"/>
          <w:b/>
        </w:rPr>
        <w:t>3</w:t>
      </w:r>
      <w:r w:rsidR="00A64D4B" w:rsidRPr="00A64D4B">
        <w:rPr>
          <w:rFonts w:eastAsia="Times New Roman"/>
          <w:b/>
        </w:rPr>
        <w:t>.2.5.2. ACUERDOS</w:t>
      </w:r>
    </w:p>
    <w:p w:rsidR="00A64D4B" w:rsidRPr="00A64D4B" w:rsidRDefault="00A64D4B" w:rsidP="00A64D4B">
      <w:pPr>
        <w:jc w:val="both"/>
        <w:rPr>
          <w:rFonts w:eastAsia="Times New Roman"/>
          <w:b/>
        </w:rPr>
      </w:pPr>
    </w:p>
    <w:p w:rsidR="00A64D4B" w:rsidRPr="00A64D4B" w:rsidRDefault="00A64D4B" w:rsidP="00A64D4B">
      <w:pPr>
        <w:jc w:val="both"/>
        <w:rPr>
          <w:rFonts w:eastAsia="Times New Roman"/>
          <w:b/>
        </w:rPr>
      </w:pPr>
      <w:r w:rsidRPr="00A64D4B">
        <w:rPr>
          <w:rFonts w:eastAsia="Times New Roman"/>
          <w:b/>
        </w:rPr>
        <w:t xml:space="preserve">Acuerdo 927 de 2024 </w:t>
      </w:r>
    </w:p>
    <w:p w:rsidR="00A64D4B" w:rsidRPr="00A64D4B" w:rsidRDefault="00A64D4B" w:rsidP="00A64D4B">
      <w:pPr>
        <w:jc w:val="both"/>
        <w:rPr>
          <w:rFonts w:eastAsia="Times New Roman"/>
          <w:b/>
        </w:rPr>
      </w:pPr>
      <w:r w:rsidRPr="00A64D4B">
        <w:rPr>
          <w:rFonts w:eastAsia="Times New Roman"/>
          <w:b/>
        </w:rPr>
        <w:t>“Por medio del cual se adopta el Plan de Desarrollo Económico, Social, Ambiental y de Obras Públicas del Distrito Capital 2024-2027 “Bogotá Camina Segura””</w:t>
      </w:r>
    </w:p>
    <w:p w:rsidR="00A64D4B" w:rsidRPr="00A64D4B" w:rsidRDefault="00A64D4B" w:rsidP="00A64D4B">
      <w:pPr>
        <w:jc w:val="both"/>
        <w:rPr>
          <w:rFonts w:eastAsia="Times New Roman"/>
          <w:b/>
        </w:rPr>
      </w:pPr>
    </w:p>
    <w:p w:rsidR="00A64D4B" w:rsidRPr="00A64D4B" w:rsidRDefault="00A64D4B" w:rsidP="00A64D4B">
      <w:pPr>
        <w:ind w:left="720"/>
        <w:jc w:val="both"/>
        <w:rPr>
          <w:rFonts w:eastAsia="Times New Roman"/>
        </w:rPr>
      </w:pPr>
      <w:r w:rsidRPr="00A64D4B">
        <w:rPr>
          <w:rFonts w:eastAsia="Times New Roman"/>
        </w:rPr>
        <w:t xml:space="preserve">El presente Proyecto de Acuerdo se encuentra en concordancia con el Programa 14. Bogotá deportiva, recreativa, artística, patrimonial e intercultural. </w:t>
      </w:r>
    </w:p>
    <w:p w:rsidR="00A64D4B" w:rsidRPr="00A64D4B" w:rsidRDefault="00A64D4B" w:rsidP="00A64D4B">
      <w:pPr>
        <w:jc w:val="both"/>
        <w:rPr>
          <w:rFonts w:eastAsia="Times New Roman"/>
        </w:rPr>
      </w:pPr>
    </w:p>
    <w:p w:rsidR="00A64D4B" w:rsidRPr="00A64D4B" w:rsidRDefault="00A64D4B" w:rsidP="00A64D4B">
      <w:pPr>
        <w:ind w:left="720"/>
        <w:jc w:val="both"/>
        <w:rPr>
          <w:rFonts w:eastAsia="Times New Roman"/>
          <w:i/>
        </w:rPr>
      </w:pPr>
      <w:r w:rsidRPr="00A64D4B">
        <w:rPr>
          <w:rFonts w:eastAsia="Times New Roman"/>
          <w:i/>
        </w:rPr>
        <w:t>“(...) se podrá llevar a cabo el desarrollo de iniciativas de memoria histórica del conflicto y las memorias locales, comunitarias y barriales (...)”</w:t>
      </w:r>
    </w:p>
    <w:p w:rsidR="00A64D4B" w:rsidRPr="00A64D4B" w:rsidRDefault="00A64D4B" w:rsidP="00A64D4B">
      <w:pPr>
        <w:jc w:val="both"/>
        <w:rPr>
          <w:rFonts w:eastAsia="Times New Roman"/>
          <w:i/>
        </w:rPr>
      </w:pPr>
    </w:p>
    <w:p w:rsidR="00A64D4B" w:rsidRPr="00A64D4B" w:rsidRDefault="00FE5924" w:rsidP="00A64D4B">
      <w:pPr>
        <w:jc w:val="both"/>
        <w:rPr>
          <w:rFonts w:eastAsia="Times New Roman"/>
          <w:b/>
        </w:rPr>
      </w:pPr>
      <w:r>
        <w:rPr>
          <w:rFonts w:eastAsia="Times New Roman"/>
          <w:b/>
        </w:rPr>
        <w:t>3</w:t>
      </w:r>
      <w:r w:rsidR="00A64D4B" w:rsidRPr="00A64D4B">
        <w:rPr>
          <w:rFonts w:eastAsia="Times New Roman"/>
          <w:b/>
        </w:rPr>
        <w:t>.2.5.3. RESOLUCIONES</w:t>
      </w:r>
    </w:p>
    <w:p w:rsidR="00A64D4B" w:rsidRPr="00A64D4B" w:rsidRDefault="00A64D4B" w:rsidP="00A64D4B">
      <w:pPr>
        <w:jc w:val="both"/>
        <w:rPr>
          <w:rFonts w:eastAsia="Times New Roman"/>
        </w:rPr>
      </w:pPr>
    </w:p>
    <w:p w:rsidR="00A64D4B" w:rsidRPr="00A64D4B" w:rsidRDefault="00A64D4B" w:rsidP="00A64D4B">
      <w:pPr>
        <w:jc w:val="both"/>
        <w:rPr>
          <w:rFonts w:eastAsia="Times New Roman"/>
          <w:b/>
        </w:rPr>
      </w:pPr>
      <w:r w:rsidRPr="00A64D4B">
        <w:rPr>
          <w:rFonts w:eastAsia="Times New Roman"/>
          <w:b/>
        </w:rPr>
        <w:t xml:space="preserve">Resolución SDP 035 de 2006 </w:t>
      </w:r>
    </w:p>
    <w:p w:rsidR="00A64D4B" w:rsidRPr="00A64D4B" w:rsidRDefault="00A64D4B" w:rsidP="00A64D4B">
      <w:pPr>
        <w:jc w:val="both"/>
        <w:rPr>
          <w:rFonts w:eastAsia="Times New Roman"/>
          <w:b/>
        </w:rPr>
      </w:pPr>
      <w:r w:rsidRPr="00A64D4B">
        <w:rPr>
          <w:rFonts w:eastAsia="Times New Roman"/>
          <w:b/>
        </w:rPr>
        <w:t xml:space="preserve">“Por la cual se declaran unos Bienes de Interés Cultural en Bogotá D.C. y se dictan otras disposiciones” </w:t>
      </w:r>
    </w:p>
    <w:p w:rsidR="00A64D4B" w:rsidRPr="00A64D4B" w:rsidRDefault="00A64D4B" w:rsidP="00A64D4B">
      <w:pPr>
        <w:jc w:val="both"/>
        <w:rPr>
          <w:rFonts w:eastAsia="Times New Roman"/>
          <w:b/>
        </w:rPr>
      </w:pPr>
    </w:p>
    <w:p w:rsidR="00A64D4B" w:rsidRPr="00A64D4B" w:rsidRDefault="00A64D4B" w:rsidP="00A64D4B">
      <w:pPr>
        <w:ind w:left="720"/>
        <w:jc w:val="both"/>
        <w:rPr>
          <w:rFonts w:eastAsia="Times New Roman"/>
        </w:rPr>
      </w:pPr>
      <w:r w:rsidRPr="00A64D4B">
        <w:rPr>
          <w:rFonts w:eastAsia="Times New Roman"/>
        </w:rPr>
        <w:t xml:space="preserve">En el </w:t>
      </w:r>
      <w:r w:rsidRPr="00A64D4B">
        <w:rPr>
          <w:rFonts w:eastAsia="Times New Roman"/>
          <w:b/>
        </w:rPr>
        <w:t>Artículo. 1</w:t>
      </w:r>
      <w:r w:rsidRPr="00A64D4B">
        <w:rPr>
          <w:rFonts w:eastAsia="Times New Roman"/>
          <w:i/>
        </w:rPr>
        <w:t xml:space="preserve"> “Declarar como Bienes de Interés Cultural los siguientes monumentos conmemorativos y objetos artísticos localizados en el espacio público del Distrito Capital.”, </w:t>
      </w:r>
      <w:r w:rsidRPr="00A64D4B">
        <w:rPr>
          <w:rFonts w:eastAsia="Times New Roman"/>
        </w:rPr>
        <w:t xml:space="preserve">la estatua de Policarpa Salavarrieta en Las Aguas fue declarada Bien de Interés Cultural a nivel distrital. </w:t>
      </w:r>
    </w:p>
    <w:p w:rsidR="00FE5924" w:rsidRDefault="00FE5924" w:rsidP="00FE5924">
      <w:pPr>
        <w:pStyle w:val="Ttulo1"/>
        <w:tabs>
          <w:tab w:val="left" w:pos="875"/>
        </w:tabs>
        <w:ind w:left="0"/>
        <w:rPr>
          <w:b w:val="0"/>
          <w:bCs w:val="0"/>
          <w:i/>
          <w:iCs/>
          <w:sz w:val="22"/>
          <w:szCs w:val="22"/>
        </w:rPr>
      </w:pPr>
    </w:p>
    <w:p w:rsidR="00FE5924" w:rsidRPr="00FE5924" w:rsidRDefault="00FE5924" w:rsidP="00FE5924">
      <w:pPr>
        <w:pStyle w:val="Prrafodelista"/>
        <w:numPr>
          <w:ilvl w:val="0"/>
          <w:numId w:val="13"/>
        </w:numPr>
        <w:jc w:val="both"/>
        <w:rPr>
          <w:rFonts w:eastAsia="Times New Roman"/>
          <w:b/>
        </w:rPr>
      </w:pPr>
      <w:r>
        <w:rPr>
          <w:rFonts w:eastAsia="Times New Roman"/>
          <w:b/>
        </w:rPr>
        <w:t>C</w:t>
      </w:r>
      <w:r w:rsidRPr="00FE5924">
        <w:rPr>
          <w:rFonts w:eastAsia="Times New Roman"/>
          <w:b/>
        </w:rPr>
        <w:t xml:space="preserve">OMPETENCIA </w:t>
      </w:r>
    </w:p>
    <w:p w:rsidR="00FE5924" w:rsidRPr="00FE5924" w:rsidRDefault="00FE5924" w:rsidP="00FE5924">
      <w:pPr>
        <w:ind w:left="720"/>
        <w:jc w:val="both"/>
        <w:rPr>
          <w:rFonts w:eastAsia="Times New Roman"/>
        </w:rPr>
      </w:pPr>
    </w:p>
    <w:p w:rsidR="00FE5924" w:rsidRPr="00FE5924" w:rsidRDefault="00FE5924" w:rsidP="00FE5924">
      <w:pPr>
        <w:jc w:val="both"/>
        <w:rPr>
          <w:rFonts w:eastAsia="Times New Roman"/>
        </w:rPr>
      </w:pPr>
      <w:r w:rsidRPr="00FE5924">
        <w:rPr>
          <w:rFonts w:eastAsia="Times New Roman"/>
        </w:rPr>
        <w:t>El Concejo de Bogotá D.C. tiene la competencia para dictar normas relacionadas con la naturaleza y el alcance del presente Proyecto de Acuerdo, según las disposiciones constitucionales y legales vigentes. En primer lugar, el artículo 313 de la Constitución Política de Colombia establece que:</w:t>
      </w:r>
    </w:p>
    <w:p w:rsidR="00FE5924" w:rsidRPr="00FE5924" w:rsidRDefault="00FE5924" w:rsidP="00FE5924">
      <w:pPr>
        <w:ind w:left="720"/>
        <w:jc w:val="both"/>
        <w:rPr>
          <w:rFonts w:eastAsia="Times New Roman"/>
        </w:rPr>
      </w:pPr>
    </w:p>
    <w:p w:rsidR="00FE5924" w:rsidRPr="00FE5924" w:rsidRDefault="00FE5924" w:rsidP="00FE5924">
      <w:pPr>
        <w:ind w:left="720"/>
        <w:jc w:val="both"/>
        <w:rPr>
          <w:rFonts w:eastAsia="Times New Roman"/>
        </w:rPr>
      </w:pPr>
      <w:r w:rsidRPr="00FE5924">
        <w:rPr>
          <w:rFonts w:eastAsia="Times New Roman"/>
        </w:rPr>
        <w:t>Artículo 313. “Corresponde a los Concejos:</w:t>
      </w:r>
    </w:p>
    <w:p w:rsidR="00FE5924" w:rsidRPr="00FE5924" w:rsidRDefault="00FE5924" w:rsidP="00FE5924">
      <w:pPr>
        <w:ind w:left="720"/>
        <w:jc w:val="both"/>
        <w:rPr>
          <w:rFonts w:eastAsia="Times New Roman"/>
        </w:rPr>
      </w:pPr>
    </w:p>
    <w:p w:rsidR="00FE5924" w:rsidRPr="00FE5924" w:rsidRDefault="00FE5924" w:rsidP="00FE5924">
      <w:pPr>
        <w:ind w:left="720"/>
        <w:jc w:val="both"/>
        <w:rPr>
          <w:rFonts w:eastAsia="Times New Roman"/>
        </w:rPr>
      </w:pPr>
      <w:r w:rsidRPr="00FE5924">
        <w:rPr>
          <w:rFonts w:eastAsia="Times New Roman"/>
        </w:rPr>
        <w:t>1. Reglamentar las funciones y la eficiente prestación de los servicios a cargo del municipio.</w:t>
      </w:r>
    </w:p>
    <w:p w:rsidR="00FE5924" w:rsidRPr="00FE5924" w:rsidRDefault="00FE5924" w:rsidP="00FE5924">
      <w:pPr>
        <w:ind w:left="720"/>
        <w:jc w:val="both"/>
        <w:rPr>
          <w:rFonts w:eastAsia="Times New Roman"/>
        </w:rPr>
      </w:pPr>
      <w:r w:rsidRPr="00FE5924">
        <w:rPr>
          <w:rFonts w:eastAsia="Times New Roman"/>
        </w:rPr>
        <w:t>(...)</w:t>
      </w:r>
    </w:p>
    <w:p w:rsidR="00FE5924" w:rsidRPr="00FE5924" w:rsidRDefault="00FE5924" w:rsidP="00FE5924">
      <w:pPr>
        <w:ind w:left="720"/>
        <w:jc w:val="both"/>
        <w:rPr>
          <w:rFonts w:eastAsia="Times New Roman"/>
        </w:rPr>
      </w:pPr>
      <w:r w:rsidRPr="00FE5924">
        <w:rPr>
          <w:rFonts w:eastAsia="Times New Roman"/>
        </w:rPr>
        <w:t>9. Dictar las normas necesarias para el control, la preservación y defensa del patrimonio ecológico y cultural del municipio.</w:t>
      </w:r>
    </w:p>
    <w:p w:rsidR="00FE5924" w:rsidRPr="00FE5924" w:rsidRDefault="00FE5924" w:rsidP="00FE5924">
      <w:pPr>
        <w:ind w:left="720"/>
        <w:jc w:val="both"/>
        <w:rPr>
          <w:rFonts w:eastAsia="Times New Roman"/>
        </w:rPr>
      </w:pPr>
    </w:p>
    <w:p w:rsidR="00FE5924" w:rsidRPr="00FE5924" w:rsidRDefault="00FE5924" w:rsidP="00FE5924">
      <w:pPr>
        <w:ind w:left="720"/>
        <w:jc w:val="both"/>
        <w:rPr>
          <w:rFonts w:eastAsia="Times New Roman"/>
        </w:rPr>
      </w:pPr>
      <w:r w:rsidRPr="00FE5924">
        <w:rPr>
          <w:rFonts w:eastAsia="Times New Roman"/>
        </w:rPr>
        <w:t>En segundo lugar, el artículo 12 del Decreto Ley 1421 de 1993 - Estatuto Orgánico de Bogotá - estipula que:</w:t>
      </w:r>
    </w:p>
    <w:p w:rsidR="00FE5924" w:rsidRDefault="00FE5924" w:rsidP="00FE5924">
      <w:pPr>
        <w:ind w:left="720"/>
        <w:jc w:val="both"/>
        <w:rPr>
          <w:rFonts w:eastAsia="Times New Roman"/>
        </w:rPr>
      </w:pPr>
    </w:p>
    <w:p w:rsidR="00FE5924" w:rsidRPr="00FE5924" w:rsidRDefault="00FE5924" w:rsidP="00FE5924">
      <w:pPr>
        <w:ind w:left="720"/>
        <w:jc w:val="both"/>
        <w:rPr>
          <w:rFonts w:eastAsia="Times New Roman"/>
        </w:rPr>
      </w:pPr>
      <w:r w:rsidRPr="00FE5924">
        <w:rPr>
          <w:rFonts w:eastAsia="Times New Roman"/>
        </w:rPr>
        <w:t>Artículo 12. Atribuciones. “Corresponde al Concejo Distrital, de conformidad con la Constitución y a la ley:</w:t>
      </w:r>
    </w:p>
    <w:p w:rsidR="00FE5924" w:rsidRPr="00FE5924" w:rsidRDefault="00FE5924" w:rsidP="00FE5924">
      <w:pPr>
        <w:ind w:left="720"/>
        <w:jc w:val="both"/>
        <w:rPr>
          <w:rFonts w:eastAsia="Times New Roman"/>
        </w:rPr>
      </w:pPr>
    </w:p>
    <w:p w:rsidR="00FE5924" w:rsidRPr="00FE5924" w:rsidRDefault="00FE5924" w:rsidP="00FE5924">
      <w:pPr>
        <w:ind w:left="720"/>
        <w:jc w:val="both"/>
        <w:rPr>
          <w:rFonts w:eastAsia="Times New Roman"/>
        </w:rPr>
      </w:pPr>
      <w:r w:rsidRPr="00FE5924">
        <w:rPr>
          <w:rFonts w:eastAsia="Times New Roman"/>
        </w:rPr>
        <w:t>1. Dictar las normas necesarias para garantizar el adecuado cumplimiento de las funciones y la eficiente prestación de los servicios a cargo del Distrito</w:t>
      </w:r>
    </w:p>
    <w:p w:rsidR="00FE5924" w:rsidRPr="00FE5924" w:rsidRDefault="00FE5924" w:rsidP="00FE5924">
      <w:pPr>
        <w:ind w:left="720"/>
        <w:jc w:val="both"/>
        <w:rPr>
          <w:rFonts w:eastAsia="Times New Roman"/>
        </w:rPr>
      </w:pPr>
      <w:r w:rsidRPr="00FE5924">
        <w:rPr>
          <w:rFonts w:eastAsia="Times New Roman"/>
        </w:rPr>
        <w:t>(...)</w:t>
      </w:r>
    </w:p>
    <w:p w:rsidR="00FE5924" w:rsidRPr="00FE5924" w:rsidRDefault="00FE5924" w:rsidP="00FE5924">
      <w:pPr>
        <w:ind w:left="720"/>
        <w:jc w:val="both"/>
        <w:rPr>
          <w:rFonts w:eastAsia="Times New Roman"/>
        </w:rPr>
      </w:pPr>
      <w:r w:rsidRPr="00FE5924">
        <w:rPr>
          <w:rFonts w:eastAsia="Times New Roman"/>
        </w:rPr>
        <w:t>13. Regular la preservación y defensa del patrimonio cultural.</w:t>
      </w:r>
    </w:p>
    <w:p w:rsidR="00FE5924" w:rsidRPr="00FE5924" w:rsidRDefault="00FE5924" w:rsidP="00FE5924">
      <w:pPr>
        <w:ind w:left="720"/>
        <w:jc w:val="both"/>
        <w:rPr>
          <w:rFonts w:eastAsia="Times New Roman"/>
        </w:rPr>
      </w:pPr>
      <w:r w:rsidRPr="00FE5924">
        <w:rPr>
          <w:rFonts w:eastAsia="Times New Roman"/>
        </w:rPr>
        <w:t>(...)</w:t>
      </w:r>
    </w:p>
    <w:p w:rsidR="00FE5924" w:rsidRPr="00FE5924" w:rsidRDefault="00FE5924" w:rsidP="00FE5924">
      <w:pPr>
        <w:ind w:left="720"/>
        <w:jc w:val="both"/>
        <w:rPr>
          <w:rFonts w:eastAsia="Times New Roman"/>
        </w:rPr>
      </w:pPr>
      <w:r w:rsidRPr="00FE5924">
        <w:rPr>
          <w:rFonts w:eastAsia="Times New Roman"/>
        </w:rPr>
        <w:t>23. Ejercer de conformidad con lo dispuesto en el artículo 7º del presente estatuto, las atribuciones que la Constitución y las leyes asignen a las asambleas departamentales.</w:t>
      </w:r>
    </w:p>
    <w:p w:rsidR="00FE5924" w:rsidRPr="00FE5924" w:rsidRDefault="00FE5924" w:rsidP="00FE5924">
      <w:pPr>
        <w:ind w:left="720"/>
        <w:jc w:val="both"/>
        <w:rPr>
          <w:rFonts w:eastAsia="Times New Roman"/>
        </w:rPr>
      </w:pPr>
      <w:r w:rsidRPr="00FE5924">
        <w:rPr>
          <w:rFonts w:eastAsia="Times New Roman"/>
        </w:rPr>
        <w:t>(...)”.</w:t>
      </w:r>
    </w:p>
    <w:p w:rsidR="00FE5924" w:rsidRPr="00FE5924" w:rsidRDefault="00FE5924" w:rsidP="00FE5924">
      <w:pPr>
        <w:ind w:left="720"/>
        <w:jc w:val="both"/>
        <w:rPr>
          <w:rFonts w:eastAsia="Times New Roman"/>
        </w:rPr>
      </w:pPr>
    </w:p>
    <w:p w:rsidR="00FE5924" w:rsidRPr="00A64D4B" w:rsidRDefault="00FE5924" w:rsidP="00FE5924">
      <w:pPr>
        <w:pStyle w:val="Ttulo1"/>
        <w:numPr>
          <w:ilvl w:val="0"/>
          <w:numId w:val="13"/>
        </w:numPr>
        <w:tabs>
          <w:tab w:val="left" w:pos="875"/>
        </w:tabs>
        <w:rPr>
          <w:sz w:val="22"/>
          <w:szCs w:val="22"/>
        </w:rPr>
      </w:pPr>
      <w:r w:rsidRPr="00A64D4B">
        <w:rPr>
          <w:sz w:val="22"/>
          <w:szCs w:val="22"/>
        </w:rPr>
        <w:t>IMPACTO</w:t>
      </w:r>
      <w:r w:rsidRPr="00A64D4B">
        <w:rPr>
          <w:spacing w:val="-1"/>
          <w:sz w:val="22"/>
          <w:szCs w:val="22"/>
        </w:rPr>
        <w:t xml:space="preserve"> </w:t>
      </w:r>
      <w:r w:rsidRPr="00A64D4B">
        <w:rPr>
          <w:spacing w:val="-2"/>
          <w:sz w:val="22"/>
          <w:szCs w:val="22"/>
        </w:rPr>
        <w:t>FISCAL</w:t>
      </w:r>
    </w:p>
    <w:p w:rsidR="00FE5924" w:rsidRDefault="00FE5924" w:rsidP="00FE5924">
      <w:pPr>
        <w:jc w:val="both"/>
      </w:pPr>
    </w:p>
    <w:p w:rsidR="00FE5924" w:rsidRPr="00FE5924" w:rsidRDefault="00FE5924" w:rsidP="00FE5924">
      <w:pPr>
        <w:jc w:val="both"/>
        <w:rPr>
          <w:rFonts w:eastAsia="Times New Roman"/>
        </w:rPr>
      </w:pPr>
      <w:r w:rsidRPr="00FE5924">
        <w:rPr>
          <w:rFonts w:eastAsia="Times New Roman"/>
        </w:rPr>
        <w:t>Este proyecto de acuerdo no genera impacto fiscal, porque se trata de hacer un reconocimiento que se atenderá con el presupuesto y rubros destinados para tal fin en el Concejo de Bogotá. Es relevante mencionar, para el caso en concreto, que no obstante lo anterior, la Corte Constitucional en Sentencia C-911 de 2007, puntualizó que el impacto fiscal de las normas no puede convertirse en óbice para que las corporaciones públicas ejerzan su función legislativa y normativa, afirmando:</w:t>
      </w:r>
    </w:p>
    <w:p w:rsidR="00FE5924" w:rsidRDefault="00FE5924" w:rsidP="00FE5924">
      <w:pPr>
        <w:ind w:right="157"/>
        <w:jc w:val="both"/>
        <w:rPr>
          <w:rFonts w:eastAsia="Times New Roman"/>
          <w:i/>
        </w:rPr>
      </w:pPr>
    </w:p>
    <w:p w:rsidR="00FE5924" w:rsidRDefault="00FE5924" w:rsidP="00FE5924">
      <w:pPr>
        <w:ind w:right="157"/>
        <w:jc w:val="both"/>
        <w:rPr>
          <w:rFonts w:eastAsia="Times New Roman"/>
          <w:i/>
        </w:rPr>
      </w:pPr>
      <w:r w:rsidRPr="00FE5924">
        <w:rPr>
          <w:rFonts w:eastAsia="Times New Roman"/>
          <w:i/>
        </w:rPr>
        <w:t>“En la realidad, aceptar que las condiciones establecidas en el art. 7° de la Ley 819 de 2003 constituyen un requisito de trámite que le incumbe cumplir única y exclusivamente al Congreso reduce desproporcionadamente la capacidad de iniciativa legislativa que reside en el Congreso de la República, con lo cual se vulnera el principio de separación de las Ramas del Poder Público, en la medida en que se lesiona seriamente la autonomía del Legislativo. (…) Precisamente, los obstáculos casi insuperables que se generarían para la actividad legislativa del Congreso de la República conducirían a concederle una forma de poder de veto al ministro de Hacienda sobre las iniciativas de ley en el Parlamento. Es decir, el mencionado artículo debe interpretarse en el sentido de que su fin es obtener que las leyes que se dicten tengan en cuenta las realidades macroeconómicas, pero sin crear barreras insalvables en el ejercicio de la función legislativa ni crear un poder de veto legislativo en cabeza del ministro de Hacienda”.</w:t>
      </w:r>
    </w:p>
    <w:p w:rsidR="004D48F5" w:rsidRDefault="004D48F5" w:rsidP="00FE5924">
      <w:pPr>
        <w:ind w:right="157"/>
        <w:jc w:val="both"/>
        <w:rPr>
          <w:rFonts w:eastAsia="Times New Roman"/>
          <w:i/>
        </w:rPr>
      </w:pPr>
    </w:p>
    <w:p w:rsidR="004D48F5" w:rsidRPr="004D48F5" w:rsidRDefault="004D48F5" w:rsidP="004D48F5">
      <w:pPr>
        <w:pStyle w:val="Prrafodelista"/>
        <w:widowControl/>
        <w:numPr>
          <w:ilvl w:val="0"/>
          <w:numId w:val="13"/>
        </w:numPr>
        <w:suppressAutoHyphens/>
        <w:autoSpaceDE/>
        <w:autoSpaceDN/>
        <w:rPr>
          <w:b/>
          <w:szCs w:val="24"/>
        </w:rPr>
      </w:pPr>
      <w:r w:rsidRPr="004D48F5">
        <w:rPr>
          <w:b/>
          <w:szCs w:val="24"/>
        </w:rPr>
        <w:t xml:space="preserve">ARTICULADO </w:t>
      </w:r>
    </w:p>
    <w:p w:rsidR="004D48F5" w:rsidRDefault="004D48F5" w:rsidP="004D48F5">
      <w:pPr>
        <w:jc w:val="center"/>
        <w:rPr>
          <w:rFonts w:ascii="Times New Roman" w:eastAsia="Times New Roman" w:hAnsi="Times New Roman" w:cs="Times New Roman"/>
          <w:b/>
        </w:rPr>
      </w:pPr>
    </w:p>
    <w:p w:rsidR="004D48F5" w:rsidRPr="00D5181D" w:rsidRDefault="004D48F5" w:rsidP="004D48F5">
      <w:pPr>
        <w:jc w:val="center"/>
        <w:rPr>
          <w:rFonts w:eastAsia="Times New Roman"/>
          <w:b/>
        </w:rPr>
      </w:pPr>
      <w:r w:rsidRPr="00D5181D">
        <w:rPr>
          <w:rFonts w:eastAsia="Times New Roman"/>
          <w:b/>
        </w:rPr>
        <w:t>PROYECTO DE ACUERDO No. 435 DE 2025</w:t>
      </w:r>
    </w:p>
    <w:p w:rsidR="004D48F5" w:rsidRPr="00D5181D" w:rsidRDefault="004D48F5" w:rsidP="004D48F5">
      <w:pPr>
        <w:jc w:val="center"/>
        <w:rPr>
          <w:rFonts w:eastAsia="Times New Roman"/>
          <w:b/>
        </w:rPr>
      </w:pPr>
    </w:p>
    <w:p w:rsidR="004D48F5" w:rsidRPr="00D5181D" w:rsidRDefault="004D48F5" w:rsidP="004D48F5">
      <w:pPr>
        <w:jc w:val="center"/>
        <w:rPr>
          <w:rFonts w:eastAsia="Times New Roman"/>
          <w:b/>
        </w:rPr>
      </w:pPr>
      <w:r w:rsidRPr="00D5181D">
        <w:rPr>
          <w:rFonts w:eastAsia="Times New Roman"/>
          <w:b/>
        </w:rPr>
        <w:t xml:space="preserve">“POR EL CUAL SE RINDE HOMENAJE EN EL CONCEJO DE BOGOTÁ A LA HEROÍNA COLOMBIANA POLICARPA SALAVARRIETA RÍOS </w:t>
      </w:r>
      <w:r w:rsidRPr="00D5181D">
        <w:rPr>
          <w:rFonts w:eastAsia="Times New Roman"/>
          <w:b/>
          <w:i/>
        </w:rPr>
        <w:t>“LA POLA”</w:t>
      </w:r>
      <w:r w:rsidRPr="00D5181D">
        <w:rPr>
          <w:rFonts w:eastAsia="Times New Roman"/>
          <w:b/>
        </w:rPr>
        <w:t>, QUIEN CUMPLIÓ UN PAPEL DESTACADO EN DISTINTOS PROCESOS HISTÓRICOS DE COLOMBIA Y DE LA CIUDAD DE BOGOTÁ D.C.”</w:t>
      </w:r>
    </w:p>
    <w:p w:rsidR="004D48F5" w:rsidRPr="00D5181D" w:rsidRDefault="004D48F5" w:rsidP="004D48F5">
      <w:pPr>
        <w:jc w:val="center"/>
        <w:rPr>
          <w:rFonts w:eastAsia="Times New Roman"/>
          <w:b/>
        </w:rPr>
      </w:pPr>
    </w:p>
    <w:p w:rsidR="004D48F5" w:rsidRPr="00D5181D" w:rsidRDefault="004D48F5" w:rsidP="004D48F5">
      <w:pPr>
        <w:jc w:val="center"/>
        <w:rPr>
          <w:rFonts w:eastAsia="Times New Roman"/>
        </w:rPr>
      </w:pPr>
      <w:r w:rsidRPr="00D5181D">
        <w:rPr>
          <w:rFonts w:eastAsia="Times New Roman"/>
        </w:rPr>
        <w:t>EL CONCEJO DE BOGOTÁ D.C.</w:t>
      </w:r>
    </w:p>
    <w:p w:rsidR="004D48F5" w:rsidRPr="00D5181D" w:rsidRDefault="004D48F5" w:rsidP="004D48F5">
      <w:pPr>
        <w:jc w:val="both"/>
        <w:rPr>
          <w:rFonts w:eastAsia="Times New Roman"/>
        </w:rPr>
      </w:pPr>
    </w:p>
    <w:p w:rsidR="004D48F5" w:rsidRPr="00D5181D" w:rsidRDefault="004D48F5" w:rsidP="004D48F5">
      <w:pPr>
        <w:jc w:val="center"/>
        <w:rPr>
          <w:rFonts w:eastAsia="Times New Roman"/>
        </w:rPr>
      </w:pPr>
      <w:r w:rsidRPr="00D5181D">
        <w:rPr>
          <w:rFonts w:eastAsia="Times New Roman"/>
        </w:rPr>
        <w:t>En el ejercicio de sus atribuciones constitucionales y legales, en especial las que le confieren los numerales 1 y 9 del artículo 313 de la Constitución Política, y los numerales 1, 13 y 23 del artículo 12 del Decreto Ley 1421 de 1993</w:t>
      </w:r>
    </w:p>
    <w:p w:rsidR="004D48F5" w:rsidRPr="00D5181D" w:rsidRDefault="004D48F5" w:rsidP="004D48F5">
      <w:pPr>
        <w:jc w:val="both"/>
        <w:rPr>
          <w:rFonts w:eastAsia="Times New Roman"/>
          <w:color w:val="FF0000"/>
        </w:rPr>
      </w:pPr>
      <w:r w:rsidRPr="00D5181D">
        <w:rPr>
          <w:rFonts w:eastAsia="Times New Roman"/>
          <w:color w:val="FF0000"/>
        </w:rPr>
        <w:t xml:space="preserve"> </w:t>
      </w:r>
    </w:p>
    <w:p w:rsidR="004D48F5" w:rsidRPr="00D5181D" w:rsidRDefault="004D48F5" w:rsidP="004D48F5">
      <w:pPr>
        <w:jc w:val="center"/>
        <w:rPr>
          <w:rFonts w:eastAsia="Times New Roman"/>
        </w:rPr>
      </w:pPr>
      <w:r w:rsidRPr="00D5181D">
        <w:rPr>
          <w:rFonts w:eastAsia="Times New Roman"/>
        </w:rPr>
        <w:t>ACUERDA:</w:t>
      </w:r>
    </w:p>
    <w:p w:rsidR="004D48F5" w:rsidRPr="00D5181D" w:rsidRDefault="004D48F5" w:rsidP="004D48F5">
      <w:pPr>
        <w:jc w:val="both"/>
        <w:rPr>
          <w:rFonts w:eastAsia="Times New Roman"/>
        </w:rPr>
      </w:pPr>
    </w:p>
    <w:p w:rsidR="004D48F5" w:rsidRPr="00D5181D" w:rsidRDefault="004D48F5" w:rsidP="004D48F5">
      <w:pPr>
        <w:jc w:val="both"/>
        <w:rPr>
          <w:rFonts w:eastAsia="Times New Roman"/>
        </w:rPr>
      </w:pPr>
      <w:r w:rsidRPr="00D5181D">
        <w:rPr>
          <w:rFonts w:eastAsia="Times New Roman"/>
          <w:b/>
        </w:rPr>
        <w:t xml:space="preserve">ARTÍCULO 1. </w:t>
      </w:r>
      <w:r w:rsidRPr="00D5181D">
        <w:rPr>
          <w:rFonts w:eastAsia="Times New Roman"/>
        </w:rPr>
        <w:t>El Concejo de Bogotá elaborará e instalará un busto dentro de las instalaciones de la Corporación. Esto como parte de la labor que se viene desarrollando dentro de la Corporación, en perspectiva de visibilizar la participación política plena y efectiva de las mujeres y la igualdad de oportunidades de liderazgo en todos los escenarios políticos, sociales y económicos tanto de la ciudad de Bogotá como de Colombia.</w:t>
      </w:r>
    </w:p>
    <w:p w:rsidR="004D48F5" w:rsidRPr="00D5181D" w:rsidRDefault="004D48F5" w:rsidP="004D48F5">
      <w:pPr>
        <w:jc w:val="both"/>
        <w:rPr>
          <w:rFonts w:eastAsia="Times New Roman"/>
        </w:rPr>
      </w:pPr>
    </w:p>
    <w:p w:rsidR="004D48F5" w:rsidRPr="00D5181D" w:rsidRDefault="004D48F5" w:rsidP="004D48F5">
      <w:pPr>
        <w:jc w:val="both"/>
        <w:rPr>
          <w:rFonts w:eastAsia="Times New Roman"/>
        </w:rPr>
      </w:pPr>
      <w:r w:rsidRPr="00D5181D">
        <w:rPr>
          <w:rFonts w:eastAsia="Times New Roman"/>
          <w:b/>
        </w:rPr>
        <w:t>ARTÍCULO 2.</w:t>
      </w:r>
      <w:r w:rsidRPr="00D5181D">
        <w:rPr>
          <w:rFonts w:eastAsia="Times New Roman"/>
        </w:rPr>
        <w:t xml:space="preserve"> El presente Acuerdo rige a partir de la fecha de su publicación.  </w:t>
      </w:r>
    </w:p>
    <w:p w:rsidR="004D48F5" w:rsidRPr="00D5181D" w:rsidRDefault="004D48F5" w:rsidP="004D48F5">
      <w:pPr>
        <w:jc w:val="both"/>
      </w:pPr>
    </w:p>
    <w:p w:rsidR="004D48F5" w:rsidRDefault="004D48F5" w:rsidP="004D48F5">
      <w:pPr>
        <w:spacing w:before="240" w:after="240"/>
        <w:jc w:val="center"/>
        <w:rPr>
          <w:rFonts w:eastAsia="Times New Roman"/>
          <w:b/>
        </w:rPr>
      </w:pPr>
      <w:r w:rsidRPr="00D5181D">
        <w:rPr>
          <w:rFonts w:eastAsia="Times New Roman"/>
          <w:b/>
        </w:rPr>
        <w:t>PUBLÍQUESE, COMUNÍQUESE Y CÚMPLASE</w:t>
      </w:r>
    </w:p>
    <w:p w:rsidR="00D5181D" w:rsidRPr="00D5181D" w:rsidRDefault="00D5181D" w:rsidP="004D48F5">
      <w:pPr>
        <w:spacing w:before="240" w:after="240"/>
        <w:jc w:val="center"/>
        <w:rPr>
          <w:rFonts w:eastAsia="Times New Roman"/>
          <w:b/>
        </w:rPr>
      </w:pPr>
    </w:p>
    <w:p w:rsidR="00C51DFB" w:rsidRPr="00D5181D" w:rsidRDefault="00824F53" w:rsidP="00D43201">
      <w:pPr>
        <w:pStyle w:val="Prrafodelista"/>
        <w:numPr>
          <w:ilvl w:val="0"/>
          <w:numId w:val="13"/>
        </w:numPr>
        <w:tabs>
          <w:tab w:val="left" w:pos="1061"/>
        </w:tabs>
        <w:jc w:val="both"/>
        <w:rPr>
          <w:b/>
        </w:rPr>
      </w:pPr>
      <w:r w:rsidRPr="00D5181D">
        <w:rPr>
          <w:b/>
          <w:spacing w:val="-2"/>
        </w:rPr>
        <w:t>CONSIDERACIONES.</w:t>
      </w:r>
    </w:p>
    <w:p w:rsidR="00D5181D" w:rsidRPr="00D5181D" w:rsidRDefault="00D5181D" w:rsidP="00D5181D">
      <w:pPr>
        <w:pStyle w:val="NormalWeb"/>
        <w:jc w:val="both"/>
        <w:rPr>
          <w:rFonts w:ascii="Arial" w:hAnsi="Arial" w:cs="Arial"/>
          <w:sz w:val="22"/>
          <w:szCs w:val="22"/>
        </w:rPr>
      </w:pPr>
      <w:r w:rsidRPr="00D5181D">
        <w:rPr>
          <w:rFonts w:ascii="Arial" w:hAnsi="Arial" w:cs="Arial"/>
          <w:sz w:val="22"/>
          <w:szCs w:val="22"/>
        </w:rPr>
        <w:t>L</w:t>
      </w:r>
      <w:r>
        <w:rPr>
          <w:rFonts w:ascii="Arial" w:hAnsi="Arial" w:cs="Arial"/>
          <w:sz w:val="22"/>
          <w:szCs w:val="22"/>
        </w:rPr>
        <w:t>a</w:t>
      </w:r>
      <w:r w:rsidRPr="00D5181D">
        <w:rPr>
          <w:rFonts w:ascii="Arial" w:hAnsi="Arial" w:cs="Arial"/>
          <w:sz w:val="22"/>
          <w:szCs w:val="22"/>
        </w:rPr>
        <w:t xml:space="preserve"> presente ponencia positiva se fundamenta en la necesidad de realizar un acto de reconocimiento institucional a la figura histórica de </w:t>
      </w:r>
      <w:proofErr w:type="spellStart"/>
      <w:r w:rsidRPr="00D5181D">
        <w:rPr>
          <w:rFonts w:ascii="Arial" w:hAnsi="Arial" w:cs="Arial"/>
          <w:sz w:val="22"/>
          <w:szCs w:val="22"/>
        </w:rPr>
        <w:t>Policarpa</w:t>
      </w:r>
      <w:proofErr w:type="spellEnd"/>
      <w:r w:rsidRPr="00D5181D">
        <w:rPr>
          <w:rFonts w:ascii="Arial" w:hAnsi="Arial" w:cs="Arial"/>
          <w:sz w:val="22"/>
          <w:szCs w:val="22"/>
        </w:rPr>
        <w:t xml:space="preserve"> </w:t>
      </w:r>
      <w:proofErr w:type="spellStart"/>
      <w:r w:rsidRPr="00D5181D">
        <w:rPr>
          <w:rFonts w:ascii="Arial" w:hAnsi="Arial" w:cs="Arial"/>
          <w:sz w:val="22"/>
          <w:szCs w:val="22"/>
        </w:rPr>
        <w:t>Salavarrieta</w:t>
      </w:r>
      <w:proofErr w:type="spellEnd"/>
      <w:r w:rsidRPr="00D5181D">
        <w:rPr>
          <w:rFonts w:ascii="Arial" w:hAnsi="Arial" w:cs="Arial"/>
          <w:sz w:val="22"/>
          <w:szCs w:val="22"/>
        </w:rPr>
        <w:t xml:space="preserve"> Ríos, heroína de la Independencia y símbolo de la resistencia civil en Colombia. Su participación activa en los procesos de liberación, a través de labores de espionaje, comunicación estratégica y apoyo logístico al ejército patriota, la posicionan como una figura clave dentro del relato fundacional de la nación y, particularmente, de la historia de Bogotá.</w:t>
      </w:r>
    </w:p>
    <w:p w:rsidR="00D5181D" w:rsidRPr="00D5181D" w:rsidRDefault="00D5181D" w:rsidP="00D5181D">
      <w:pPr>
        <w:pStyle w:val="NormalWeb"/>
        <w:jc w:val="both"/>
        <w:rPr>
          <w:rFonts w:ascii="Arial" w:hAnsi="Arial" w:cs="Arial"/>
          <w:sz w:val="22"/>
          <w:szCs w:val="22"/>
        </w:rPr>
      </w:pPr>
      <w:r w:rsidRPr="00D5181D">
        <w:rPr>
          <w:rFonts w:ascii="Arial" w:hAnsi="Arial" w:cs="Arial"/>
          <w:sz w:val="22"/>
          <w:szCs w:val="22"/>
        </w:rPr>
        <w:lastRenderedPageBreak/>
        <w:t xml:space="preserve">La instalación de un busto en su honor en las instalaciones del Concejo de Bogotá constituye un acto de memoria histórica y equidad representativa, que rinde homenaje a figuras políticas relevantes mediante la incorporación de símbolos conmemorativos dentro del recinto. Asimismo, refuerza el compromiso de la Corporación con la </w:t>
      </w:r>
      <w:proofErr w:type="spellStart"/>
      <w:r w:rsidRPr="00D5181D">
        <w:rPr>
          <w:rFonts w:ascii="Arial" w:hAnsi="Arial" w:cs="Arial"/>
          <w:sz w:val="22"/>
          <w:szCs w:val="22"/>
        </w:rPr>
        <w:t>visibilización</w:t>
      </w:r>
      <w:proofErr w:type="spellEnd"/>
      <w:r w:rsidRPr="00D5181D">
        <w:rPr>
          <w:rFonts w:ascii="Arial" w:hAnsi="Arial" w:cs="Arial"/>
          <w:sz w:val="22"/>
          <w:szCs w:val="22"/>
        </w:rPr>
        <w:t xml:space="preserve"> del papel de las mujeres en los procesos sociales y políticos de la nación.</w:t>
      </w:r>
    </w:p>
    <w:p w:rsidR="00D5181D" w:rsidRPr="00D5181D" w:rsidRDefault="00D5181D" w:rsidP="00D5181D">
      <w:pPr>
        <w:pStyle w:val="NormalWeb"/>
        <w:jc w:val="both"/>
        <w:rPr>
          <w:rFonts w:ascii="Arial" w:hAnsi="Arial" w:cs="Arial"/>
          <w:sz w:val="22"/>
          <w:szCs w:val="22"/>
        </w:rPr>
      </w:pPr>
      <w:r w:rsidRPr="00D5181D">
        <w:rPr>
          <w:rFonts w:ascii="Arial" w:hAnsi="Arial" w:cs="Arial"/>
          <w:sz w:val="22"/>
          <w:szCs w:val="22"/>
        </w:rPr>
        <w:t>Esta iniciativa no solo exalta a una protagonista del movimiento independentista, sino que promueve una reflexión pedagógica en torno al valor de la libertad, la dignidad ciudadana y la participación femenina en la construcción democrática del país.</w:t>
      </w:r>
    </w:p>
    <w:p w:rsidR="00C51DFB" w:rsidRPr="00D5181D" w:rsidRDefault="00824F53" w:rsidP="00D43201">
      <w:pPr>
        <w:pStyle w:val="Prrafodelista"/>
        <w:numPr>
          <w:ilvl w:val="0"/>
          <w:numId w:val="13"/>
        </w:numPr>
        <w:tabs>
          <w:tab w:val="left" w:pos="1061"/>
        </w:tabs>
        <w:spacing w:before="1"/>
        <w:jc w:val="both"/>
        <w:rPr>
          <w:b/>
          <w:spacing w:val="-2"/>
        </w:rPr>
      </w:pPr>
      <w:r w:rsidRPr="00D5181D">
        <w:rPr>
          <w:b/>
          <w:spacing w:val="-2"/>
        </w:rPr>
        <w:t>CONCLUSIÓN</w:t>
      </w:r>
    </w:p>
    <w:p w:rsidR="00D43201" w:rsidRPr="00D5181D" w:rsidRDefault="00D43201" w:rsidP="00D43201"/>
    <w:p w:rsidR="00D43201" w:rsidRPr="00D5181D" w:rsidRDefault="00824F53" w:rsidP="00D43201">
      <w:pPr>
        <w:jc w:val="both"/>
        <w:rPr>
          <w:b/>
        </w:rPr>
      </w:pPr>
      <w:r w:rsidRPr="00D5181D">
        <w:t xml:space="preserve">Por todo lo anteriormente expuesto, me permito rendir dentro del término legal establecido, PONENCIA POSITIVA SIN MODIFICACIONES AL PROYECTO DE ACUERDO No. </w:t>
      </w:r>
      <w:r w:rsidR="00D43201" w:rsidRPr="00D5181D">
        <w:t>435</w:t>
      </w:r>
      <w:r w:rsidRPr="00D5181D">
        <w:t xml:space="preserve"> DE</w:t>
      </w:r>
      <w:r w:rsidRPr="00D5181D">
        <w:rPr>
          <w:spacing w:val="40"/>
        </w:rPr>
        <w:t xml:space="preserve"> </w:t>
      </w:r>
      <w:r w:rsidRPr="00D5181D">
        <w:t>202</w:t>
      </w:r>
      <w:r w:rsidR="00D43201" w:rsidRPr="00D5181D">
        <w:t xml:space="preserve">5 </w:t>
      </w:r>
      <w:r w:rsidR="00D43201" w:rsidRPr="00D5181D">
        <w:rPr>
          <w:b/>
        </w:rPr>
        <w:t xml:space="preserve">“POR EL CUAL SE RINDE HOMENAJE EN EL CONCEJO DE BOGOTÁ A LA HEROÍNA COLOMBIANA POLICARPA SALAVARRIETA RÍOS </w:t>
      </w:r>
      <w:r w:rsidR="00D43201" w:rsidRPr="00D5181D">
        <w:rPr>
          <w:b/>
          <w:i/>
        </w:rPr>
        <w:t>“LA POLA”</w:t>
      </w:r>
      <w:r w:rsidR="00D43201" w:rsidRPr="00D5181D">
        <w:rPr>
          <w:b/>
        </w:rPr>
        <w:t>, QUIEN CUMPLIÓ UN PAPEL DESTACADO EN DISTINTOS PROCESOS HISTÓRICOS DE COLOMBIA Y DE LA CIUDAD DE BOGOTÁ D.C.”</w:t>
      </w:r>
    </w:p>
    <w:p w:rsidR="00C51DFB" w:rsidRPr="00A64D4B" w:rsidRDefault="00C51DFB" w:rsidP="005B6581">
      <w:pPr>
        <w:pStyle w:val="Textoindependiente"/>
        <w:spacing w:before="168"/>
        <w:jc w:val="both"/>
        <w:rPr>
          <w:b/>
          <w:i w:val="0"/>
          <w:sz w:val="22"/>
          <w:szCs w:val="22"/>
        </w:rPr>
      </w:pPr>
    </w:p>
    <w:p w:rsidR="00C51DFB" w:rsidRPr="00A64D4B" w:rsidRDefault="00D5181D" w:rsidP="00D5181D">
      <w:pPr>
        <w:jc w:val="both"/>
      </w:pPr>
      <w:r w:rsidRPr="00A64D4B">
        <w:rPr>
          <w:i/>
          <w:noProof/>
          <w:lang w:val="es-CO" w:eastAsia="es-CO"/>
        </w:rPr>
        <w:drawing>
          <wp:anchor distT="0" distB="0" distL="0" distR="0" simplePos="0" relativeHeight="251720704" behindDoc="1" locked="0" layoutInCell="1" allowOverlap="1">
            <wp:simplePos x="0" y="0"/>
            <wp:positionH relativeFrom="margin">
              <wp:align>left</wp:align>
            </wp:positionH>
            <wp:positionV relativeFrom="paragraph">
              <wp:posOffset>272415</wp:posOffset>
            </wp:positionV>
            <wp:extent cx="1419225" cy="615950"/>
            <wp:effectExtent l="0" t="0" r="9525" b="0"/>
            <wp:wrapTopAndBottom/>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30" cstate="print"/>
                    <a:stretch>
                      <a:fillRect/>
                    </a:stretch>
                  </pic:blipFill>
                  <pic:spPr>
                    <a:xfrm>
                      <a:off x="0" y="0"/>
                      <a:ext cx="1419225" cy="615950"/>
                    </a:xfrm>
                    <a:prstGeom prst="rect">
                      <a:avLst/>
                    </a:prstGeom>
                  </pic:spPr>
                </pic:pic>
              </a:graphicData>
            </a:graphic>
          </wp:anchor>
        </w:drawing>
      </w:r>
      <w:r w:rsidR="00824F53" w:rsidRPr="00A64D4B">
        <w:rPr>
          <w:spacing w:val="-2"/>
        </w:rPr>
        <w:t>Atentamente,</w:t>
      </w:r>
    </w:p>
    <w:p w:rsidR="00D5181D" w:rsidRDefault="00824F53" w:rsidP="00D5181D">
      <w:pPr>
        <w:pStyle w:val="Textoindependiente"/>
        <w:spacing w:before="50"/>
        <w:jc w:val="both"/>
        <w:rPr>
          <w:sz w:val="22"/>
          <w:szCs w:val="22"/>
        </w:rPr>
      </w:pPr>
      <w:r w:rsidRPr="00A64D4B">
        <w:rPr>
          <w:i w:val="0"/>
          <w:noProof/>
          <w:sz w:val="22"/>
          <w:szCs w:val="22"/>
          <w:lang w:val="es-CO" w:eastAsia="es-CO"/>
        </w:rPr>
        <mc:AlternateContent>
          <mc:Choice Requires="wps">
            <w:drawing>
              <wp:anchor distT="0" distB="0" distL="0" distR="0" simplePos="0" relativeHeight="251728896" behindDoc="1" locked="0" layoutInCell="1" allowOverlap="1">
                <wp:simplePos x="0" y="0"/>
                <wp:positionH relativeFrom="page">
                  <wp:posOffset>902512</wp:posOffset>
                </wp:positionH>
                <wp:positionV relativeFrom="paragraph">
                  <wp:posOffset>975082</wp:posOffset>
                </wp:positionV>
                <wp:extent cx="2625725" cy="1270"/>
                <wp:effectExtent l="0" t="0" r="0" b="0"/>
                <wp:wrapTopAndBottom/>
                <wp:docPr id="23" name="Graphic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25725" cy="1270"/>
                        </a:xfrm>
                        <a:custGeom>
                          <a:avLst/>
                          <a:gdLst/>
                          <a:ahLst/>
                          <a:cxnLst/>
                          <a:rect l="l" t="t" r="r" b="b"/>
                          <a:pathLst>
                            <a:path w="2625725">
                              <a:moveTo>
                                <a:pt x="0" y="0"/>
                              </a:moveTo>
                              <a:lnTo>
                                <a:pt x="2625394" y="0"/>
                              </a:lnTo>
                            </a:path>
                          </a:pathLst>
                        </a:custGeom>
                        <a:ln w="960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8E27FB4" id="Graphic 23" o:spid="_x0000_s1026" style="position:absolute;margin-left:71.05pt;margin-top:76.8pt;width:206.75pt;height:.1pt;z-index:-251587584;visibility:visible;mso-wrap-style:square;mso-wrap-distance-left:0;mso-wrap-distance-top:0;mso-wrap-distance-right:0;mso-wrap-distance-bottom:0;mso-position-horizontal:absolute;mso-position-horizontal-relative:page;mso-position-vertical:absolute;mso-position-vertical-relative:text;v-text-anchor:top" coordsize="26257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" path="m,l2625394,e" filled="f" strokeweight=".26669mm">
                <v:path arrowok="t"/>
                <w10:wrap type="topAndBottom" anchorx="page"/>
              </v:shape>
            </w:pict>
          </mc:Fallback>
        </mc:AlternateContent>
      </w:r>
    </w:p>
    <w:p w:rsidR="00C51DFB" w:rsidRPr="00D5181D" w:rsidRDefault="00824F53" w:rsidP="00D5181D">
      <w:pPr>
        <w:pStyle w:val="Textoindependiente"/>
        <w:spacing w:before="50"/>
        <w:jc w:val="both"/>
        <w:rPr>
          <w:b/>
          <w:sz w:val="22"/>
          <w:szCs w:val="22"/>
        </w:rPr>
      </w:pPr>
      <w:r w:rsidRPr="00D5181D">
        <w:rPr>
          <w:b/>
          <w:sz w:val="22"/>
          <w:szCs w:val="22"/>
        </w:rPr>
        <w:t>JOSE</w:t>
      </w:r>
      <w:r w:rsidRPr="00D5181D">
        <w:rPr>
          <w:b/>
          <w:spacing w:val="-6"/>
          <w:sz w:val="22"/>
          <w:szCs w:val="22"/>
        </w:rPr>
        <w:t xml:space="preserve"> </w:t>
      </w:r>
      <w:r w:rsidRPr="00D5181D">
        <w:rPr>
          <w:b/>
          <w:sz w:val="22"/>
          <w:szCs w:val="22"/>
        </w:rPr>
        <w:t>DEL</w:t>
      </w:r>
      <w:r w:rsidRPr="00D5181D">
        <w:rPr>
          <w:b/>
          <w:spacing w:val="-9"/>
          <w:sz w:val="22"/>
          <w:szCs w:val="22"/>
        </w:rPr>
        <w:t xml:space="preserve"> </w:t>
      </w:r>
      <w:r w:rsidRPr="00D5181D">
        <w:rPr>
          <w:b/>
          <w:sz w:val="22"/>
          <w:szCs w:val="22"/>
        </w:rPr>
        <w:t>CARMEN</w:t>
      </w:r>
      <w:r w:rsidRPr="00D5181D">
        <w:rPr>
          <w:b/>
          <w:spacing w:val="-5"/>
          <w:sz w:val="22"/>
          <w:szCs w:val="22"/>
        </w:rPr>
        <w:t xml:space="preserve"> </w:t>
      </w:r>
      <w:r w:rsidRPr="00D5181D">
        <w:rPr>
          <w:b/>
          <w:sz w:val="22"/>
          <w:szCs w:val="22"/>
        </w:rPr>
        <w:t>CUESTA</w:t>
      </w:r>
      <w:r w:rsidRPr="00D5181D">
        <w:rPr>
          <w:b/>
          <w:spacing w:val="-6"/>
          <w:sz w:val="22"/>
          <w:szCs w:val="22"/>
        </w:rPr>
        <w:t xml:space="preserve"> </w:t>
      </w:r>
      <w:r w:rsidRPr="00D5181D">
        <w:rPr>
          <w:b/>
          <w:spacing w:val="-4"/>
          <w:sz w:val="22"/>
          <w:szCs w:val="22"/>
        </w:rPr>
        <w:t>NOVOA</w:t>
      </w:r>
    </w:p>
    <w:p w:rsidR="00C51DFB" w:rsidRPr="00A64D4B" w:rsidRDefault="00824F53" w:rsidP="00D5181D">
      <w:pPr>
        <w:spacing w:before="41"/>
        <w:jc w:val="both"/>
      </w:pPr>
      <w:r w:rsidRPr="00A64D4B">
        <w:rPr>
          <w:spacing w:val="-2"/>
        </w:rPr>
        <w:t>Ponente</w:t>
      </w:r>
    </w:p>
    <w:p w:rsidR="00C51DFB" w:rsidRPr="00A64D4B" w:rsidRDefault="00824F53" w:rsidP="00D5181D">
      <w:pPr>
        <w:spacing w:before="41"/>
        <w:jc w:val="both"/>
      </w:pPr>
      <w:r w:rsidRPr="00A64D4B">
        <w:t>Concejal</w:t>
      </w:r>
      <w:r w:rsidRPr="00A64D4B">
        <w:rPr>
          <w:spacing w:val="-12"/>
        </w:rPr>
        <w:t xml:space="preserve"> </w:t>
      </w:r>
      <w:r w:rsidRPr="00A64D4B">
        <w:t>de</w:t>
      </w:r>
      <w:r w:rsidRPr="00A64D4B">
        <w:rPr>
          <w:spacing w:val="-12"/>
        </w:rPr>
        <w:t xml:space="preserve"> </w:t>
      </w:r>
      <w:r w:rsidRPr="00A64D4B">
        <w:rPr>
          <w:spacing w:val="-2"/>
        </w:rPr>
        <w:t>Bogotá</w:t>
      </w:r>
    </w:p>
    <w:p w:rsidR="00C51DFB" w:rsidRPr="00A64D4B" w:rsidRDefault="00824F53" w:rsidP="00D5181D">
      <w:pPr>
        <w:spacing w:before="38"/>
        <w:jc w:val="both"/>
      </w:pPr>
      <w:r w:rsidRPr="00A64D4B">
        <w:t>Partido</w:t>
      </w:r>
      <w:r w:rsidRPr="00A64D4B">
        <w:rPr>
          <w:spacing w:val="-7"/>
        </w:rPr>
        <w:t xml:space="preserve"> </w:t>
      </w:r>
      <w:r w:rsidRPr="00A64D4B">
        <w:t>Colombia</w:t>
      </w:r>
      <w:r w:rsidRPr="00A64D4B">
        <w:rPr>
          <w:spacing w:val="-5"/>
        </w:rPr>
        <w:t xml:space="preserve"> </w:t>
      </w:r>
      <w:r w:rsidRPr="00A64D4B">
        <w:rPr>
          <w:spacing w:val="-2"/>
        </w:rPr>
        <w:t>Humana</w:t>
      </w:r>
    </w:p>
    <w:sectPr w:rsidR="00C51DFB" w:rsidRPr="00A64D4B" w:rsidSect="00E62DD5">
      <w:headerReference w:type="default" r:id="rId31"/>
      <w:pgSz w:w="12240" w:h="15840"/>
      <w:pgMar w:top="2127" w:right="1080" w:bottom="993" w:left="1080" w:header="568"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72A29" w:rsidRDefault="00A72A29">
      <w:r>
        <w:separator/>
      </w:r>
    </w:p>
  </w:endnote>
  <w:endnote w:type="continuationSeparator" w:id="0">
    <w:p w:rsidR="00A72A29" w:rsidRDefault="00A72A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72A29" w:rsidRDefault="00A72A29">
      <w:r>
        <w:separator/>
      </w:r>
    </w:p>
  </w:footnote>
  <w:footnote w:type="continuationSeparator" w:id="0">
    <w:p w:rsidR="00A72A29" w:rsidRDefault="00A72A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left w:w="70" w:type="dxa"/>
        <w:right w:w="70" w:type="dxa"/>
      </w:tblCellMar>
      <w:tblLook w:val="0000" w:firstRow="0" w:lastRow="0" w:firstColumn="0" w:lastColumn="0" w:noHBand="0" w:noVBand="0"/>
    </w:tblPr>
    <w:tblGrid>
      <w:gridCol w:w="2692"/>
      <w:gridCol w:w="4830"/>
      <w:gridCol w:w="2548"/>
    </w:tblGrid>
    <w:tr w:rsidR="00E62DD5" w:rsidRPr="00E62DD5" w:rsidTr="000F7198">
      <w:trPr>
        <w:trHeight w:val="454"/>
      </w:trPr>
      <w:tc>
        <w:tcPr>
          <w:tcW w:w="1337" w:type="pct"/>
          <w:vMerge w:val="restart"/>
          <w:tcBorders>
            <w:top w:val="single" w:sz="4" w:space="0" w:color="auto"/>
            <w:left w:val="single" w:sz="4" w:space="0" w:color="auto"/>
            <w:right w:val="single" w:sz="4" w:space="0" w:color="auto"/>
          </w:tcBorders>
          <w:vAlign w:val="center"/>
        </w:tcPr>
        <w:p w:rsidR="00E62DD5" w:rsidRPr="00E62DD5" w:rsidRDefault="00E62DD5" w:rsidP="00E62DD5">
          <w:pPr>
            <w:widowControl/>
            <w:autoSpaceDE/>
            <w:autoSpaceDN/>
            <w:jc w:val="center"/>
            <w:rPr>
              <w:rFonts w:eastAsia="Times New Roman"/>
              <w:color w:val="000000"/>
              <w:sz w:val="16"/>
              <w:szCs w:val="16"/>
              <w:lang w:eastAsia="es-ES"/>
            </w:rPr>
          </w:pPr>
          <w:r>
            <w:rPr>
              <w:rFonts w:eastAsia="Times New Roman"/>
              <w:noProof/>
              <w:color w:val="000000"/>
              <w:sz w:val="16"/>
              <w:szCs w:val="16"/>
              <w:lang w:val="es-CO" w:eastAsia="es-CO"/>
            </w:rPr>
            <w:drawing>
              <wp:inline distT="0" distB="0" distL="0" distR="0" wp14:anchorId="5B635B5D">
                <wp:extent cx="749935" cy="890270"/>
                <wp:effectExtent l="0" t="0" r="0" b="508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9935" cy="890270"/>
                        </a:xfrm>
                        <a:prstGeom prst="rect">
                          <a:avLst/>
                        </a:prstGeom>
                        <a:noFill/>
                      </pic:spPr>
                    </pic:pic>
                  </a:graphicData>
                </a:graphic>
              </wp:inline>
            </w:drawing>
          </w:r>
        </w:p>
      </w:tc>
      <w:tc>
        <w:tcPr>
          <w:tcW w:w="2398" w:type="pct"/>
          <w:tcBorders>
            <w:top w:val="single" w:sz="4" w:space="0" w:color="auto"/>
            <w:left w:val="nil"/>
            <w:bottom w:val="single" w:sz="4" w:space="0" w:color="auto"/>
            <w:right w:val="single" w:sz="4" w:space="0" w:color="auto"/>
          </w:tcBorders>
          <w:vAlign w:val="center"/>
        </w:tcPr>
        <w:p w:rsidR="00E62DD5" w:rsidRPr="00E62DD5" w:rsidRDefault="00E62DD5" w:rsidP="00E62DD5">
          <w:pPr>
            <w:widowControl/>
            <w:autoSpaceDE/>
            <w:autoSpaceDN/>
            <w:jc w:val="center"/>
            <w:rPr>
              <w:rFonts w:eastAsia="Times New Roman"/>
              <w:color w:val="000000"/>
              <w:sz w:val="18"/>
              <w:szCs w:val="18"/>
              <w:lang w:eastAsia="es-ES"/>
            </w:rPr>
          </w:pPr>
          <w:r w:rsidRPr="00E62DD5">
            <w:rPr>
              <w:rFonts w:eastAsia="Times New Roman"/>
              <w:color w:val="000000"/>
              <w:sz w:val="18"/>
              <w:szCs w:val="18"/>
              <w:lang w:eastAsia="es-ES"/>
            </w:rPr>
            <w:t>PROCESO GESTIÓN NORMATIVA</w:t>
          </w:r>
        </w:p>
      </w:tc>
      <w:tc>
        <w:tcPr>
          <w:tcW w:w="1265" w:type="pct"/>
          <w:tcBorders>
            <w:top w:val="single" w:sz="4" w:space="0" w:color="auto"/>
            <w:left w:val="nil"/>
            <w:bottom w:val="single" w:sz="4" w:space="0" w:color="auto"/>
            <w:right w:val="single" w:sz="4" w:space="0" w:color="000000"/>
          </w:tcBorders>
          <w:noWrap/>
          <w:vAlign w:val="center"/>
        </w:tcPr>
        <w:p w:rsidR="00E62DD5" w:rsidRPr="00E62DD5" w:rsidRDefault="00E62DD5" w:rsidP="00E62DD5">
          <w:pPr>
            <w:widowControl/>
            <w:autoSpaceDE/>
            <w:autoSpaceDN/>
            <w:rPr>
              <w:rFonts w:eastAsia="Times New Roman"/>
              <w:color w:val="000000"/>
              <w:sz w:val="16"/>
              <w:szCs w:val="16"/>
              <w:lang w:eastAsia="es-ES"/>
            </w:rPr>
          </w:pPr>
          <w:r w:rsidRPr="00E62DD5">
            <w:rPr>
              <w:rFonts w:eastAsia="Times New Roman"/>
              <w:color w:val="000000"/>
              <w:sz w:val="16"/>
              <w:szCs w:val="16"/>
              <w:lang w:eastAsia="es-ES"/>
            </w:rPr>
            <w:t>CÓDIGO</w:t>
          </w:r>
          <w:r w:rsidRPr="00E62DD5">
            <w:rPr>
              <w:rFonts w:eastAsia="Times New Roman"/>
              <w:color w:val="3366FF"/>
              <w:sz w:val="16"/>
              <w:szCs w:val="16"/>
              <w:lang w:eastAsia="es-ES"/>
            </w:rPr>
            <w:t xml:space="preserve">: </w:t>
          </w:r>
          <w:r w:rsidRPr="00E62DD5">
            <w:rPr>
              <w:rFonts w:eastAsia="Times New Roman"/>
              <w:color w:val="000000"/>
              <w:sz w:val="16"/>
              <w:szCs w:val="16"/>
              <w:lang w:eastAsia="es-ES"/>
            </w:rPr>
            <w:t>GNV-FO-003</w:t>
          </w:r>
        </w:p>
      </w:tc>
    </w:tr>
    <w:tr w:rsidR="00E62DD5" w:rsidRPr="00E62DD5" w:rsidTr="000F7198">
      <w:trPr>
        <w:trHeight w:val="454"/>
      </w:trPr>
      <w:tc>
        <w:tcPr>
          <w:tcW w:w="1337" w:type="pct"/>
          <w:vMerge/>
          <w:tcBorders>
            <w:left w:val="single" w:sz="4" w:space="0" w:color="auto"/>
            <w:right w:val="single" w:sz="4" w:space="0" w:color="auto"/>
          </w:tcBorders>
          <w:vAlign w:val="center"/>
        </w:tcPr>
        <w:p w:rsidR="00E62DD5" w:rsidRPr="00E62DD5" w:rsidRDefault="00E62DD5" w:rsidP="00E62DD5">
          <w:pPr>
            <w:widowControl/>
            <w:autoSpaceDE/>
            <w:autoSpaceDN/>
            <w:rPr>
              <w:rFonts w:eastAsia="Times New Roman"/>
              <w:color w:val="000000"/>
              <w:sz w:val="16"/>
              <w:szCs w:val="16"/>
              <w:lang w:eastAsia="es-ES"/>
            </w:rPr>
          </w:pPr>
        </w:p>
      </w:tc>
      <w:tc>
        <w:tcPr>
          <w:tcW w:w="2398" w:type="pct"/>
          <w:vMerge w:val="restart"/>
          <w:tcBorders>
            <w:top w:val="single" w:sz="4" w:space="0" w:color="auto"/>
            <w:left w:val="nil"/>
            <w:right w:val="single" w:sz="4" w:space="0" w:color="auto"/>
          </w:tcBorders>
          <w:vAlign w:val="center"/>
        </w:tcPr>
        <w:p w:rsidR="00E62DD5" w:rsidRPr="00E62DD5" w:rsidRDefault="00E62DD5" w:rsidP="00E62DD5">
          <w:pPr>
            <w:widowControl/>
            <w:autoSpaceDE/>
            <w:autoSpaceDN/>
            <w:jc w:val="center"/>
            <w:rPr>
              <w:rFonts w:eastAsia="Times New Roman"/>
              <w:color w:val="000000"/>
              <w:sz w:val="20"/>
              <w:szCs w:val="20"/>
              <w:lang w:eastAsia="es-ES"/>
            </w:rPr>
          </w:pPr>
          <w:r w:rsidRPr="00E62DD5">
            <w:rPr>
              <w:rFonts w:eastAsia="Times New Roman"/>
              <w:color w:val="000000"/>
              <w:sz w:val="20"/>
              <w:szCs w:val="20"/>
              <w:lang w:eastAsia="es-ES"/>
            </w:rPr>
            <w:t>PRESENTACIÓN PONENCIAS</w:t>
          </w:r>
        </w:p>
      </w:tc>
      <w:tc>
        <w:tcPr>
          <w:tcW w:w="1265" w:type="pct"/>
          <w:tcBorders>
            <w:top w:val="single" w:sz="4" w:space="0" w:color="auto"/>
            <w:left w:val="nil"/>
            <w:bottom w:val="single" w:sz="4" w:space="0" w:color="auto"/>
            <w:right w:val="single" w:sz="4" w:space="0" w:color="000000"/>
          </w:tcBorders>
          <w:vAlign w:val="center"/>
        </w:tcPr>
        <w:p w:rsidR="00E62DD5" w:rsidRPr="00E62DD5" w:rsidRDefault="00E62DD5" w:rsidP="00E62DD5">
          <w:pPr>
            <w:widowControl/>
            <w:autoSpaceDE/>
            <w:autoSpaceDN/>
            <w:rPr>
              <w:rFonts w:eastAsia="Times New Roman"/>
              <w:color w:val="000000"/>
              <w:sz w:val="16"/>
              <w:szCs w:val="16"/>
              <w:lang w:eastAsia="es-ES"/>
            </w:rPr>
          </w:pPr>
          <w:r w:rsidRPr="00E62DD5">
            <w:rPr>
              <w:rFonts w:eastAsia="Times New Roman"/>
              <w:color w:val="000000"/>
              <w:sz w:val="16"/>
              <w:szCs w:val="16"/>
              <w:lang w:eastAsia="es-ES"/>
            </w:rPr>
            <w:t>VERSIÓN:    01</w:t>
          </w:r>
        </w:p>
      </w:tc>
    </w:tr>
    <w:tr w:rsidR="00E62DD5" w:rsidRPr="00E62DD5" w:rsidTr="000F7198">
      <w:trPr>
        <w:trHeight w:val="454"/>
      </w:trPr>
      <w:tc>
        <w:tcPr>
          <w:tcW w:w="1337" w:type="pct"/>
          <w:vMerge/>
          <w:tcBorders>
            <w:left w:val="single" w:sz="4" w:space="0" w:color="auto"/>
            <w:bottom w:val="single" w:sz="4" w:space="0" w:color="auto"/>
            <w:right w:val="single" w:sz="4" w:space="0" w:color="auto"/>
          </w:tcBorders>
          <w:vAlign w:val="center"/>
        </w:tcPr>
        <w:p w:rsidR="00E62DD5" w:rsidRPr="00E62DD5" w:rsidRDefault="00E62DD5" w:rsidP="00E62DD5">
          <w:pPr>
            <w:widowControl/>
            <w:autoSpaceDE/>
            <w:autoSpaceDN/>
            <w:rPr>
              <w:rFonts w:eastAsia="Times New Roman"/>
              <w:color w:val="000000"/>
              <w:sz w:val="16"/>
              <w:szCs w:val="16"/>
              <w:lang w:eastAsia="es-ES"/>
            </w:rPr>
          </w:pPr>
        </w:p>
      </w:tc>
      <w:tc>
        <w:tcPr>
          <w:tcW w:w="2398" w:type="pct"/>
          <w:vMerge/>
          <w:tcBorders>
            <w:left w:val="nil"/>
            <w:bottom w:val="single" w:sz="4" w:space="0" w:color="auto"/>
            <w:right w:val="single" w:sz="4" w:space="0" w:color="auto"/>
          </w:tcBorders>
          <w:vAlign w:val="center"/>
        </w:tcPr>
        <w:p w:rsidR="00E62DD5" w:rsidRPr="00E62DD5" w:rsidRDefault="00E62DD5" w:rsidP="00E62DD5">
          <w:pPr>
            <w:widowControl/>
            <w:autoSpaceDE/>
            <w:autoSpaceDN/>
            <w:jc w:val="center"/>
            <w:rPr>
              <w:rFonts w:eastAsia="Times New Roman"/>
              <w:color w:val="000000"/>
              <w:sz w:val="18"/>
              <w:szCs w:val="18"/>
              <w:lang w:eastAsia="es-ES"/>
            </w:rPr>
          </w:pPr>
        </w:p>
      </w:tc>
      <w:tc>
        <w:tcPr>
          <w:tcW w:w="1265" w:type="pct"/>
          <w:tcBorders>
            <w:top w:val="single" w:sz="4" w:space="0" w:color="auto"/>
            <w:left w:val="nil"/>
            <w:bottom w:val="single" w:sz="4" w:space="0" w:color="auto"/>
            <w:right w:val="single" w:sz="4" w:space="0" w:color="000000"/>
          </w:tcBorders>
          <w:vAlign w:val="center"/>
        </w:tcPr>
        <w:p w:rsidR="00E62DD5" w:rsidRPr="00E62DD5" w:rsidRDefault="00E62DD5" w:rsidP="00E62DD5">
          <w:pPr>
            <w:widowControl/>
            <w:autoSpaceDE/>
            <w:autoSpaceDN/>
            <w:rPr>
              <w:rFonts w:eastAsia="Times New Roman"/>
              <w:color w:val="000000"/>
              <w:sz w:val="16"/>
              <w:szCs w:val="16"/>
              <w:lang w:eastAsia="es-ES"/>
            </w:rPr>
          </w:pPr>
          <w:r w:rsidRPr="00E62DD5">
            <w:rPr>
              <w:rFonts w:eastAsia="Times New Roman"/>
              <w:color w:val="000000"/>
              <w:sz w:val="16"/>
              <w:szCs w:val="16"/>
              <w:lang w:eastAsia="es-ES"/>
            </w:rPr>
            <w:t>FECHA: 14-Nov-2019</w:t>
          </w:r>
        </w:p>
      </w:tc>
    </w:tr>
  </w:tbl>
  <w:p w:rsidR="00C51DFB" w:rsidRDefault="00C51DFB">
    <w:pPr>
      <w:pStyle w:val="Textoindependiente"/>
      <w:spacing w:line="14" w:lineRule="auto"/>
      <w:rPr>
        <w:i w:val="0"/>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27304"/>
    <w:multiLevelType w:val="hybridMultilevel"/>
    <w:tmpl w:val="82D6AEF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16B12A7B"/>
    <w:multiLevelType w:val="multilevel"/>
    <w:tmpl w:val="D7FC6ED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240350B3"/>
    <w:multiLevelType w:val="hybridMultilevel"/>
    <w:tmpl w:val="4BBE190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32104873"/>
    <w:multiLevelType w:val="hybridMultilevel"/>
    <w:tmpl w:val="757EDCE2"/>
    <w:lvl w:ilvl="0" w:tplc="840E7A2C">
      <w:start w:val="8"/>
      <w:numFmt w:val="bullet"/>
      <w:lvlText w:val=""/>
      <w:lvlJc w:val="left"/>
      <w:pPr>
        <w:ind w:left="720" w:hanging="360"/>
      </w:pPr>
      <w:rPr>
        <w:rFonts w:ascii="Symbol" w:eastAsia="Times New Roman" w:hAnsi="Symbol"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342F3F13"/>
    <w:multiLevelType w:val="hybridMultilevel"/>
    <w:tmpl w:val="E7960ABC"/>
    <w:lvl w:ilvl="0" w:tplc="3B302C8E">
      <w:start w:val="12"/>
      <w:numFmt w:val="decimal"/>
      <w:lvlText w:val="%1."/>
      <w:lvlJc w:val="left"/>
      <w:pPr>
        <w:ind w:left="341" w:hanging="389"/>
      </w:pPr>
      <w:rPr>
        <w:rFonts w:ascii="Arial" w:eastAsia="Arial" w:hAnsi="Arial" w:cs="Arial" w:hint="default"/>
        <w:b w:val="0"/>
        <w:bCs w:val="0"/>
        <w:i/>
        <w:iCs/>
        <w:spacing w:val="0"/>
        <w:w w:val="99"/>
        <w:sz w:val="24"/>
        <w:szCs w:val="24"/>
        <w:lang w:val="es-ES" w:eastAsia="en-US" w:bidi="ar-SA"/>
      </w:rPr>
    </w:lvl>
    <w:lvl w:ilvl="1" w:tplc="A1C8156E">
      <w:numFmt w:val="bullet"/>
      <w:lvlText w:val="●"/>
      <w:lvlJc w:val="left"/>
      <w:pPr>
        <w:ind w:left="1061" w:hanging="360"/>
      </w:pPr>
      <w:rPr>
        <w:rFonts w:ascii="Arial MT" w:eastAsia="Arial MT" w:hAnsi="Arial MT" w:cs="Arial MT" w:hint="default"/>
        <w:b w:val="0"/>
        <w:bCs w:val="0"/>
        <w:i w:val="0"/>
        <w:iCs w:val="0"/>
        <w:spacing w:val="0"/>
        <w:w w:val="60"/>
        <w:sz w:val="24"/>
        <w:szCs w:val="24"/>
        <w:lang w:val="es-ES" w:eastAsia="en-US" w:bidi="ar-SA"/>
      </w:rPr>
    </w:lvl>
    <w:lvl w:ilvl="2" w:tplc="73E0C32E">
      <w:numFmt w:val="bullet"/>
      <w:lvlText w:val="●"/>
      <w:lvlJc w:val="left"/>
      <w:pPr>
        <w:ind w:left="1781" w:hanging="360"/>
      </w:pPr>
      <w:rPr>
        <w:rFonts w:ascii="Arial MT" w:eastAsia="Arial MT" w:hAnsi="Arial MT" w:cs="Arial MT" w:hint="default"/>
        <w:b w:val="0"/>
        <w:bCs w:val="0"/>
        <w:i w:val="0"/>
        <w:iCs w:val="0"/>
        <w:spacing w:val="0"/>
        <w:w w:val="60"/>
        <w:sz w:val="24"/>
        <w:szCs w:val="24"/>
        <w:lang w:val="es-ES" w:eastAsia="en-US" w:bidi="ar-SA"/>
      </w:rPr>
    </w:lvl>
    <w:lvl w:ilvl="3" w:tplc="3E4A08EC">
      <w:numFmt w:val="bullet"/>
      <w:lvlText w:val="•"/>
      <w:lvlJc w:val="left"/>
      <w:pPr>
        <w:ind w:left="2817" w:hanging="360"/>
      </w:pPr>
      <w:rPr>
        <w:rFonts w:hint="default"/>
        <w:lang w:val="es-ES" w:eastAsia="en-US" w:bidi="ar-SA"/>
      </w:rPr>
    </w:lvl>
    <w:lvl w:ilvl="4" w:tplc="85E8AA7A">
      <w:numFmt w:val="bullet"/>
      <w:lvlText w:val="•"/>
      <w:lvlJc w:val="left"/>
      <w:pPr>
        <w:ind w:left="3855" w:hanging="360"/>
      </w:pPr>
      <w:rPr>
        <w:rFonts w:hint="default"/>
        <w:lang w:val="es-ES" w:eastAsia="en-US" w:bidi="ar-SA"/>
      </w:rPr>
    </w:lvl>
    <w:lvl w:ilvl="5" w:tplc="86AAB1AE">
      <w:numFmt w:val="bullet"/>
      <w:lvlText w:val="•"/>
      <w:lvlJc w:val="left"/>
      <w:pPr>
        <w:ind w:left="4892" w:hanging="360"/>
      </w:pPr>
      <w:rPr>
        <w:rFonts w:hint="default"/>
        <w:lang w:val="es-ES" w:eastAsia="en-US" w:bidi="ar-SA"/>
      </w:rPr>
    </w:lvl>
    <w:lvl w:ilvl="6" w:tplc="FA4AA7EC">
      <w:numFmt w:val="bullet"/>
      <w:lvlText w:val="•"/>
      <w:lvlJc w:val="left"/>
      <w:pPr>
        <w:ind w:left="5930" w:hanging="360"/>
      </w:pPr>
      <w:rPr>
        <w:rFonts w:hint="default"/>
        <w:lang w:val="es-ES" w:eastAsia="en-US" w:bidi="ar-SA"/>
      </w:rPr>
    </w:lvl>
    <w:lvl w:ilvl="7" w:tplc="7618D316">
      <w:numFmt w:val="bullet"/>
      <w:lvlText w:val="•"/>
      <w:lvlJc w:val="left"/>
      <w:pPr>
        <w:ind w:left="6967" w:hanging="360"/>
      </w:pPr>
      <w:rPr>
        <w:rFonts w:hint="default"/>
        <w:lang w:val="es-ES" w:eastAsia="en-US" w:bidi="ar-SA"/>
      </w:rPr>
    </w:lvl>
    <w:lvl w:ilvl="8" w:tplc="8BD6F438">
      <w:numFmt w:val="bullet"/>
      <w:lvlText w:val="•"/>
      <w:lvlJc w:val="left"/>
      <w:pPr>
        <w:ind w:left="8005" w:hanging="360"/>
      </w:pPr>
      <w:rPr>
        <w:rFonts w:hint="default"/>
        <w:lang w:val="es-ES" w:eastAsia="en-US" w:bidi="ar-SA"/>
      </w:rPr>
    </w:lvl>
  </w:abstractNum>
  <w:abstractNum w:abstractNumId="5" w15:restartNumberingAfterBreak="0">
    <w:nsid w:val="3A4D6A4E"/>
    <w:multiLevelType w:val="multilevel"/>
    <w:tmpl w:val="EAD46C00"/>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
      <w:lvlJc w:val="left"/>
      <w:pPr>
        <w:ind w:left="1080" w:hanging="360"/>
      </w:pPr>
      <w:rPr>
        <w:rFonts w:ascii="Noto Sans Symbols" w:eastAsia="Noto Sans Symbols" w:hAnsi="Noto Sans Symbols" w:cs="Noto Sans Symbols"/>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6" w15:restartNumberingAfterBreak="0">
    <w:nsid w:val="449E1B1C"/>
    <w:multiLevelType w:val="multilevel"/>
    <w:tmpl w:val="8EDE3D5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45174C90"/>
    <w:multiLevelType w:val="hybridMultilevel"/>
    <w:tmpl w:val="CF547110"/>
    <w:lvl w:ilvl="0" w:tplc="1076D03C">
      <w:start w:val="4"/>
      <w:numFmt w:val="decimal"/>
      <w:lvlText w:val="%1."/>
      <w:lvlJc w:val="left"/>
      <w:pPr>
        <w:ind w:left="341" w:hanging="281"/>
        <w:jc w:val="right"/>
      </w:pPr>
      <w:rPr>
        <w:rFonts w:ascii="Arial" w:eastAsia="Arial" w:hAnsi="Arial" w:cs="Arial" w:hint="default"/>
        <w:b w:val="0"/>
        <w:bCs w:val="0"/>
        <w:i/>
        <w:iCs/>
        <w:spacing w:val="0"/>
        <w:w w:val="99"/>
        <w:sz w:val="24"/>
        <w:szCs w:val="24"/>
        <w:lang w:val="es-ES" w:eastAsia="en-US" w:bidi="ar-SA"/>
      </w:rPr>
    </w:lvl>
    <w:lvl w:ilvl="1" w:tplc="3978F970">
      <w:numFmt w:val="bullet"/>
      <w:lvlText w:val="•"/>
      <w:lvlJc w:val="left"/>
      <w:pPr>
        <w:ind w:left="1314" w:hanging="281"/>
      </w:pPr>
      <w:rPr>
        <w:rFonts w:hint="default"/>
        <w:lang w:val="es-ES" w:eastAsia="en-US" w:bidi="ar-SA"/>
      </w:rPr>
    </w:lvl>
    <w:lvl w:ilvl="2" w:tplc="D87CB138">
      <w:numFmt w:val="bullet"/>
      <w:lvlText w:val="•"/>
      <w:lvlJc w:val="left"/>
      <w:pPr>
        <w:ind w:left="2288" w:hanging="281"/>
      </w:pPr>
      <w:rPr>
        <w:rFonts w:hint="default"/>
        <w:lang w:val="es-ES" w:eastAsia="en-US" w:bidi="ar-SA"/>
      </w:rPr>
    </w:lvl>
    <w:lvl w:ilvl="3" w:tplc="404AB870">
      <w:numFmt w:val="bullet"/>
      <w:lvlText w:val="•"/>
      <w:lvlJc w:val="left"/>
      <w:pPr>
        <w:ind w:left="3262" w:hanging="281"/>
      </w:pPr>
      <w:rPr>
        <w:rFonts w:hint="default"/>
        <w:lang w:val="es-ES" w:eastAsia="en-US" w:bidi="ar-SA"/>
      </w:rPr>
    </w:lvl>
    <w:lvl w:ilvl="4" w:tplc="52CE0264">
      <w:numFmt w:val="bullet"/>
      <w:lvlText w:val="•"/>
      <w:lvlJc w:val="left"/>
      <w:pPr>
        <w:ind w:left="4236" w:hanging="281"/>
      </w:pPr>
      <w:rPr>
        <w:rFonts w:hint="default"/>
        <w:lang w:val="es-ES" w:eastAsia="en-US" w:bidi="ar-SA"/>
      </w:rPr>
    </w:lvl>
    <w:lvl w:ilvl="5" w:tplc="F54CF86C">
      <w:numFmt w:val="bullet"/>
      <w:lvlText w:val="•"/>
      <w:lvlJc w:val="left"/>
      <w:pPr>
        <w:ind w:left="5210" w:hanging="281"/>
      </w:pPr>
      <w:rPr>
        <w:rFonts w:hint="default"/>
        <w:lang w:val="es-ES" w:eastAsia="en-US" w:bidi="ar-SA"/>
      </w:rPr>
    </w:lvl>
    <w:lvl w:ilvl="6" w:tplc="CA0CEA34">
      <w:numFmt w:val="bullet"/>
      <w:lvlText w:val="•"/>
      <w:lvlJc w:val="left"/>
      <w:pPr>
        <w:ind w:left="6184" w:hanging="281"/>
      </w:pPr>
      <w:rPr>
        <w:rFonts w:hint="default"/>
        <w:lang w:val="es-ES" w:eastAsia="en-US" w:bidi="ar-SA"/>
      </w:rPr>
    </w:lvl>
    <w:lvl w:ilvl="7" w:tplc="540A8498">
      <w:numFmt w:val="bullet"/>
      <w:lvlText w:val="•"/>
      <w:lvlJc w:val="left"/>
      <w:pPr>
        <w:ind w:left="7158" w:hanging="281"/>
      </w:pPr>
      <w:rPr>
        <w:rFonts w:hint="default"/>
        <w:lang w:val="es-ES" w:eastAsia="en-US" w:bidi="ar-SA"/>
      </w:rPr>
    </w:lvl>
    <w:lvl w:ilvl="8" w:tplc="1DBE41D2">
      <w:numFmt w:val="bullet"/>
      <w:lvlText w:val="•"/>
      <w:lvlJc w:val="left"/>
      <w:pPr>
        <w:ind w:left="8132" w:hanging="281"/>
      </w:pPr>
      <w:rPr>
        <w:rFonts w:hint="default"/>
        <w:lang w:val="es-ES" w:eastAsia="en-US" w:bidi="ar-SA"/>
      </w:rPr>
    </w:lvl>
  </w:abstractNum>
  <w:abstractNum w:abstractNumId="8" w15:restartNumberingAfterBreak="0">
    <w:nsid w:val="4A9924C2"/>
    <w:multiLevelType w:val="multilevel"/>
    <w:tmpl w:val="C14E789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4C730C1C"/>
    <w:multiLevelType w:val="hybridMultilevel"/>
    <w:tmpl w:val="65B096B0"/>
    <w:lvl w:ilvl="0" w:tplc="52EA5828">
      <w:start w:val="1"/>
      <w:numFmt w:val="decimal"/>
      <w:lvlText w:val="%1."/>
      <w:lvlJc w:val="left"/>
      <w:pPr>
        <w:ind w:left="1061" w:hanging="428"/>
      </w:pPr>
      <w:rPr>
        <w:rFonts w:ascii="Arial" w:eastAsia="Arial" w:hAnsi="Arial" w:cs="Arial" w:hint="default"/>
        <w:b w:val="0"/>
        <w:bCs w:val="0"/>
        <w:i/>
        <w:iCs/>
        <w:spacing w:val="0"/>
        <w:w w:val="100"/>
        <w:sz w:val="24"/>
        <w:szCs w:val="24"/>
        <w:lang w:val="es-ES" w:eastAsia="en-US" w:bidi="ar-SA"/>
      </w:rPr>
    </w:lvl>
    <w:lvl w:ilvl="1" w:tplc="7F6EFF2A">
      <w:numFmt w:val="bullet"/>
      <w:lvlText w:val="•"/>
      <w:lvlJc w:val="left"/>
      <w:pPr>
        <w:ind w:left="1962" w:hanging="428"/>
      </w:pPr>
      <w:rPr>
        <w:rFonts w:hint="default"/>
        <w:lang w:val="es-ES" w:eastAsia="en-US" w:bidi="ar-SA"/>
      </w:rPr>
    </w:lvl>
    <w:lvl w:ilvl="2" w:tplc="7FD4646C">
      <w:numFmt w:val="bullet"/>
      <w:lvlText w:val="•"/>
      <w:lvlJc w:val="left"/>
      <w:pPr>
        <w:ind w:left="2864" w:hanging="428"/>
      </w:pPr>
      <w:rPr>
        <w:rFonts w:hint="default"/>
        <w:lang w:val="es-ES" w:eastAsia="en-US" w:bidi="ar-SA"/>
      </w:rPr>
    </w:lvl>
    <w:lvl w:ilvl="3" w:tplc="DC180F22">
      <w:numFmt w:val="bullet"/>
      <w:lvlText w:val="•"/>
      <w:lvlJc w:val="left"/>
      <w:pPr>
        <w:ind w:left="3766" w:hanging="428"/>
      </w:pPr>
      <w:rPr>
        <w:rFonts w:hint="default"/>
        <w:lang w:val="es-ES" w:eastAsia="en-US" w:bidi="ar-SA"/>
      </w:rPr>
    </w:lvl>
    <w:lvl w:ilvl="4" w:tplc="059452B8">
      <w:numFmt w:val="bullet"/>
      <w:lvlText w:val="•"/>
      <w:lvlJc w:val="left"/>
      <w:pPr>
        <w:ind w:left="4668" w:hanging="428"/>
      </w:pPr>
      <w:rPr>
        <w:rFonts w:hint="default"/>
        <w:lang w:val="es-ES" w:eastAsia="en-US" w:bidi="ar-SA"/>
      </w:rPr>
    </w:lvl>
    <w:lvl w:ilvl="5" w:tplc="E0966DA8">
      <w:numFmt w:val="bullet"/>
      <w:lvlText w:val="•"/>
      <w:lvlJc w:val="left"/>
      <w:pPr>
        <w:ind w:left="5570" w:hanging="428"/>
      </w:pPr>
      <w:rPr>
        <w:rFonts w:hint="default"/>
        <w:lang w:val="es-ES" w:eastAsia="en-US" w:bidi="ar-SA"/>
      </w:rPr>
    </w:lvl>
    <w:lvl w:ilvl="6" w:tplc="55B6C050">
      <w:numFmt w:val="bullet"/>
      <w:lvlText w:val="•"/>
      <w:lvlJc w:val="left"/>
      <w:pPr>
        <w:ind w:left="6472" w:hanging="428"/>
      </w:pPr>
      <w:rPr>
        <w:rFonts w:hint="default"/>
        <w:lang w:val="es-ES" w:eastAsia="en-US" w:bidi="ar-SA"/>
      </w:rPr>
    </w:lvl>
    <w:lvl w:ilvl="7" w:tplc="5C5EE604">
      <w:numFmt w:val="bullet"/>
      <w:lvlText w:val="•"/>
      <w:lvlJc w:val="left"/>
      <w:pPr>
        <w:ind w:left="7374" w:hanging="428"/>
      </w:pPr>
      <w:rPr>
        <w:rFonts w:hint="default"/>
        <w:lang w:val="es-ES" w:eastAsia="en-US" w:bidi="ar-SA"/>
      </w:rPr>
    </w:lvl>
    <w:lvl w:ilvl="8" w:tplc="C39CBF34">
      <w:numFmt w:val="bullet"/>
      <w:lvlText w:val="•"/>
      <w:lvlJc w:val="left"/>
      <w:pPr>
        <w:ind w:left="8276" w:hanging="428"/>
      </w:pPr>
      <w:rPr>
        <w:rFonts w:hint="default"/>
        <w:lang w:val="es-ES" w:eastAsia="en-US" w:bidi="ar-SA"/>
      </w:rPr>
    </w:lvl>
  </w:abstractNum>
  <w:abstractNum w:abstractNumId="10" w15:restartNumberingAfterBreak="0">
    <w:nsid w:val="59414C80"/>
    <w:multiLevelType w:val="multilevel"/>
    <w:tmpl w:val="400A40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70AE019D"/>
    <w:multiLevelType w:val="hybridMultilevel"/>
    <w:tmpl w:val="1C346126"/>
    <w:lvl w:ilvl="0" w:tplc="8200B880">
      <w:start w:val="1"/>
      <w:numFmt w:val="decimal"/>
      <w:lvlText w:val="%1."/>
      <w:lvlJc w:val="left"/>
      <w:pPr>
        <w:ind w:left="609" w:hanging="269"/>
      </w:pPr>
      <w:rPr>
        <w:rFonts w:ascii="Arial" w:eastAsia="Arial" w:hAnsi="Arial" w:cs="Arial" w:hint="default"/>
        <w:b w:val="0"/>
        <w:bCs w:val="0"/>
        <w:i/>
        <w:iCs/>
        <w:spacing w:val="0"/>
        <w:w w:val="99"/>
        <w:sz w:val="24"/>
        <w:szCs w:val="24"/>
        <w:lang w:val="es-ES" w:eastAsia="en-US" w:bidi="ar-SA"/>
      </w:rPr>
    </w:lvl>
    <w:lvl w:ilvl="1" w:tplc="B64E5236">
      <w:numFmt w:val="bullet"/>
      <w:lvlText w:val="●"/>
      <w:lvlJc w:val="left"/>
      <w:pPr>
        <w:ind w:left="1061" w:hanging="360"/>
      </w:pPr>
      <w:rPr>
        <w:rFonts w:ascii="Arial MT" w:eastAsia="Arial MT" w:hAnsi="Arial MT" w:cs="Arial MT" w:hint="default"/>
        <w:b w:val="0"/>
        <w:bCs w:val="0"/>
        <w:i w:val="0"/>
        <w:iCs w:val="0"/>
        <w:spacing w:val="0"/>
        <w:w w:val="60"/>
        <w:sz w:val="24"/>
        <w:szCs w:val="24"/>
        <w:lang w:val="es-ES" w:eastAsia="en-US" w:bidi="ar-SA"/>
      </w:rPr>
    </w:lvl>
    <w:lvl w:ilvl="2" w:tplc="4C221C58">
      <w:numFmt w:val="bullet"/>
      <w:lvlText w:val="•"/>
      <w:lvlJc w:val="left"/>
      <w:pPr>
        <w:ind w:left="2062" w:hanging="360"/>
      </w:pPr>
      <w:rPr>
        <w:rFonts w:hint="default"/>
        <w:lang w:val="es-ES" w:eastAsia="en-US" w:bidi="ar-SA"/>
      </w:rPr>
    </w:lvl>
    <w:lvl w:ilvl="3" w:tplc="D81AE67E">
      <w:numFmt w:val="bullet"/>
      <w:lvlText w:val="•"/>
      <w:lvlJc w:val="left"/>
      <w:pPr>
        <w:ind w:left="3064" w:hanging="360"/>
      </w:pPr>
      <w:rPr>
        <w:rFonts w:hint="default"/>
        <w:lang w:val="es-ES" w:eastAsia="en-US" w:bidi="ar-SA"/>
      </w:rPr>
    </w:lvl>
    <w:lvl w:ilvl="4" w:tplc="2FF408E6">
      <w:numFmt w:val="bullet"/>
      <w:lvlText w:val="•"/>
      <w:lvlJc w:val="left"/>
      <w:pPr>
        <w:ind w:left="4066" w:hanging="360"/>
      </w:pPr>
      <w:rPr>
        <w:rFonts w:hint="default"/>
        <w:lang w:val="es-ES" w:eastAsia="en-US" w:bidi="ar-SA"/>
      </w:rPr>
    </w:lvl>
    <w:lvl w:ilvl="5" w:tplc="D3E0C346">
      <w:numFmt w:val="bullet"/>
      <w:lvlText w:val="•"/>
      <w:lvlJc w:val="left"/>
      <w:pPr>
        <w:ind w:left="5068" w:hanging="360"/>
      </w:pPr>
      <w:rPr>
        <w:rFonts w:hint="default"/>
        <w:lang w:val="es-ES" w:eastAsia="en-US" w:bidi="ar-SA"/>
      </w:rPr>
    </w:lvl>
    <w:lvl w:ilvl="6" w:tplc="FDDEEEFE">
      <w:numFmt w:val="bullet"/>
      <w:lvlText w:val="•"/>
      <w:lvlJc w:val="left"/>
      <w:pPr>
        <w:ind w:left="6071" w:hanging="360"/>
      </w:pPr>
      <w:rPr>
        <w:rFonts w:hint="default"/>
        <w:lang w:val="es-ES" w:eastAsia="en-US" w:bidi="ar-SA"/>
      </w:rPr>
    </w:lvl>
    <w:lvl w:ilvl="7" w:tplc="0810D050">
      <w:numFmt w:val="bullet"/>
      <w:lvlText w:val="•"/>
      <w:lvlJc w:val="left"/>
      <w:pPr>
        <w:ind w:left="7073" w:hanging="360"/>
      </w:pPr>
      <w:rPr>
        <w:rFonts w:hint="default"/>
        <w:lang w:val="es-ES" w:eastAsia="en-US" w:bidi="ar-SA"/>
      </w:rPr>
    </w:lvl>
    <w:lvl w:ilvl="8" w:tplc="328A628E">
      <w:numFmt w:val="bullet"/>
      <w:lvlText w:val="•"/>
      <w:lvlJc w:val="left"/>
      <w:pPr>
        <w:ind w:left="8075" w:hanging="360"/>
      </w:pPr>
      <w:rPr>
        <w:rFonts w:hint="default"/>
        <w:lang w:val="es-ES" w:eastAsia="en-US" w:bidi="ar-SA"/>
      </w:rPr>
    </w:lvl>
  </w:abstractNum>
  <w:abstractNum w:abstractNumId="12" w15:restartNumberingAfterBreak="0">
    <w:nsid w:val="797E1ED1"/>
    <w:multiLevelType w:val="hybridMultilevel"/>
    <w:tmpl w:val="034020DC"/>
    <w:lvl w:ilvl="0" w:tplc="240A0013">
      <w:start w:val="1"/>
      <w:numFmt w:val="upp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7C6A4529"/>
    <w:multiLevelType w:val="hybridMultilevel"/>
    <w:tmpl w:val="D53E54C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7EC06CC7"/>
    <w:multiLevelType w:val="hybridMultilevel"/>
    <w:tmpl w:val="95323FA8"/>
    <w:lvl w:ilvl="0" w:tplc="9858E3D0">
      <w:start w:val="1"/>
      <w:numFmt w:val="upperRoman"/>
      <w:lvlText w:val="%1."/>
      <w:lvlJc w:val="left"/>
      <w:pPr>
        <w:ind w:left="2141" w:hanging="720"/>
        <w:jc w:val="right"/>
      </w:pPr>
      <w:rPr>
        <w:rFonts w:ascii="Arial" w:eastAsia="Arial" w:hAnsi="Arial" w:cs="Arial" w:hint="default"/>
        <w:b/>
        <w:bCs/>
        <w:i w:val="0"/>
        <w:iCs w:val="0"/>
        <w:spacing w:val="0"/>
        <w:w w:val="100"/>
        <w:sz w:val="24"/>
        <w:szCs w:val="24"/>
        <w:lang w:val="es-ES" w:eastAsia="en-US" w:bidi="ar-SA"/>
      </w:rPr>
    </w:lvl>
    <w:lvl w:ilvl="1" w:tplc="60761930">
      <w:numFmt w:val="bullet"/>
      <w:lvlText w:val="●"/>
      <w:lvlJc w:val="left"/>
      <w:pPr>
        <w:ind w:left="1061" w:hanging="360"/>
      </w:pPr>
      <w:rPr>
        <w:rFonts w:ascii="Arial MT" w:eastAsia="Arial MT" w:hAnsi="Arial MT" w:cs="Arial MT" w:hint="default"/>
        <w:b w:val="0"/>
        <w:bCs w:val="0"/>
        <w:i w:val="0"/>
        <w:iCs w:val="0"/>
        <w:spacing w:val="0"/>
        <w:w w:val="60"/>
        <w:sz w:val="24"/>
        <w:szCs w:val="24"/>
        <w:lang w:val="es-ES" w:eastAsia="en-US" w:bidi="ar-SA"/>
      </w:rPr>
    </w:lvl>
    <w:lvl w:ilvl="2" w:tplc="AA0C2CC2">
      <w:numFmt w:val="bullet"/>
      <w:lvlText w:val="•"/>
      <w:lvlJc w:val="left"/>
      <w:pPr>
        <w:ind w:left="3022" w:hanging="360"/>
      </w:pPr>
      <w:rPr>
        <w:rFonts w:hint="default"/>
        <w:lang w:val="es-ES" w:eastAsia="en-US" w:bidi="ar-SA"/>
      </w:rPr>
    </w:lvl>
    <w:lvl w:ilvl="3" w:tplc="8EE8C27E">
      <w:numFmt w:val="bullet"/>
      <w:lvlText w:val="•"/>
      <w:lvlJc w:val="left"/>
      <w:pPr>
        <w:ind w:left="3904" w:hanging="360"/>
      </w:pPr>
      <w:rPr>
        <w:rFonts w:hint="default"/>
        <w:lang w:val="es-ES" w:eastAsia="en-US" w:bidi="ar-SA"/>
      </w:rPr>
    </w:lvl>
    <w:lvl w:ilvl="4" w:tplc="1772D28E">
      <w:numFmt w:val="bullet"/>
      <w:lvlText w:val="•"/>
      <w:lvlJc w:val="left"/>
      <w:pPr>
        <w:ind w:left="4786" w:hanging="360"/>
      </w:pPr>
      <w:rPr>
        <w:rFonts w:hint="default"/>
        <w:lang w:val="es-ES" w:eastAsia="en-US" w:bidi="ar-SA"/>
      </w:rPr>
    </w:lvl>
    <w:lvl w:ilvl="5" w:tplc="337C9F08">
      <w:numFmt w:val="bullet"/>
      <w:lvlText w:val="•"/>
      <w:lvlJc w:val="left"/>
      <w:pPr>
        <w:ind w:left="5668" w:hanging="360"/>
      </w:pPr>
      <w:rPr>
        <w:rFonts w:hint="default"/>
        <w:lang w:val="es-ES" w:eastAsia="en-US" w:bidi="ar-SA"/>
      </w:rPr>
    </w:lvl>
    <w:lvl w:ilvl="6" w:tplc="9D2667A4">
      <w:numFmt w:val="bullet"/>
      <w:lvlText w:val="•"/>
      <w:lvlJc w:val="left"/>
      <w:pPr>
        <w:ind w:left="6551" w:hanging="360"/>
      </w:pPr>
      <w:rPr>
        <w:rFonts w:hint="default"/>
        <w:lang w:val="es-ES" w:eastAsia="en-US" w:bidi="ar-SA"/>
      </w:rPr>
    </w:lvl>
    <w:lvl w:ilvl="7" w:tplc="6A9656E8">
      <w:numFmt w:val="bullet"/>
      <w:lvlText w:val="•"/>
      <w:lvlJc w:val="left"/>
      <w:pPr>
        <w:ind w:left="7433" w:hanging="360"/>
      </w:pPr>
      <w:rPr>
        <w:rFonts w:hint="default"/>
        <w:lang w:val="es-ES" w:eastAsia="en-US" w:bidi="ar-SA"/>
      </w:rPr>
    </w:lvl>
    <w:lvl w:ilvl="8" w:tplc="760077DE">
      <w:numFmt w:val="bullet"/>
      <w:lvlText w:val="•"/>
      <w:lvlJc w:val="left"/>
      <w:pPr>
        <w:ind w:left="8315" w:hanging="360"/>
      </w:pPr>
      <w:rPr>
        <w:rFonts w:hint="default"/>
        <w:lang w:val="es-ES" w:eastAsia="en-US" w:bidi="ar-SA"/>
      </w:rPr>
    </w:lvl>
  </w:abstractNum>
  <w:num w:numId="1">
    <w:abstractNumId w:val="14"/>
  </w:num>
  <w:num w:numId="2">
    <w:abstractNumId w:val="11"/>
  </w:num>
  <w:num w:numId="3">
    <w:abstractNumId w:val="4"/>
  </w:num>
  <w:num w:numId="4">
    <w:abstractNumId w:val="7"/>
  </w:num>
  <w:num w:numId="5">
    <w:abstractNumId w:val="9"/>
  </w:num>
  <w:num w:numId="6">
    <w:abstractNumId w:val="3"/>
  </w:num>
  <w:num w:numId="7">
    <w:abstractNumId w:val="6"/>
  </w:num>
  <w:num w:numId="8">
    <w:abstractNumId w:val="5"/>
  </w:num>
  <w:num w:numId="9">
    <w:abstractNumId w:val="8"/>
  </w:num>
  <w:num w:numId="10">
    <w:abstractNumId w:val="1"/>
  </w:num>
  <w:num w:numId="11">
    <w:abstractNumId w:val="10"/>
  </w:num>
  <w:num w:numId="12">
    <w:abstractNumId w:val="0"/>
  </w:num>
  <w:num w:numId="13">
    <w:abstractNumId w:val="13"/>
  </w:num>
  <w:num w:numId="14">
    <w:abstractNumId w:val="12"/>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1DFB"/>
    <w:rsid w:val="000A101C"/>
    <w:rsid w:val="00171AE0"/>
    <w:rsid w:val="00206810"/>
    <w:rsid w:val="004D48F5"/>
    <w:rsid w:val="005B6581"/>
    <w:rsid w:val="007F3ECC"/>
    <w:rsid w:val="00824F53"/>
    <w:rsid w:val="008F096E"/>
    <w:rsid w:val="00A52E9F"/>
    <w:rsid w:val="00A64D4B"/>
    <w:rsid w:val="00A72A29"/>
    <w:rsid w:val="00AA03A5"/>
    <w:rsid w:val="00C51DFB"/>
    <w:rsid w:val="00CD3CEE"/>
    <w:rsid w:val="00D43201"/>
    <w:rsid w:val="00D5181D"/>
    <w:rsid w:val="00D520C9"/>
    <w:rsid w:val="00D5412A"/>
    <w:rsid w:val="00E62DD5"/>
    <w:rsid w:val="00F913B0"/>
    <w:rsid w:val="00FE592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ABBDE652-3EFC-4628-9541-9085A8A505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w:eastAsia="Arial" w:hAnsi="Arial" w:cs="Arial"/>
      <w:lang w:val="es-ES"/>
    </w:rPr>
  </w:style>
  <w:style w:type="paragraph" w:styleId="Ttulo1">
    <w:name w:val="heading 1"/>
    <w:basedOn w:val="Normal"/>
    <w:uiPriority w:val="1"/>
    <w:qFormat/>
    <w:pPr>
      <w:ind w:left="1061"/>
      <w:outlineLvl w:val="0"/>
    </w:pPr>
    <w:rPr>
      <w:b/>
      <w:bCs/>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i/>
      <w:iCs/>
      <w:sz w:val="24"/>
      <w:szCs w:val="24"/>
    </w:rPr>
  </w:style>
  <w:style w:type="paragraph" w:styleId="Prrafodelista">
    <w:name w:val="List Paragraph"/>
    <w:basedOn w:val="Normal"/>
    <w:uiPriority w:val="34"/>
    <w:qFormat/>
    <w:pPr>
      <w:ind w:left="1781" w:hanging="360"/>
    </w:pPr>
  </w:style>
  <w:style w:type="paragraph" w:customStyle="1" w:styleId="TableParagraph">
    <w:name w:val="Table Paragraph"/>
    <w:basedOn w:val="Normal"/>
    <w:uiPriority w:val="1"/>
    <w:qFormat/>
    <w:rPr>
      <w:rFonts w:ascii="Arial MT" w:eastAsia="Arial MT" w:hAnsi="Arial MT" w:cs="Arial MT"/>
    </w:rPr>
  </w:style>
  <w:style w:type="paragraph" w:styleId="Encabezado">
    <w:name w:val="header"/>
    <w:basedOn w:val="Normal"/>
    <w:link w:val="EncabezadoCar"/>
    <w:uiPriority w:val="99"/>
    <w:unhideWhenUsed/>
    <w:rsid w:val="00D5412A"/>
    <w:pPr>
      <w:tabs>
        <w:tab w:val="center" w:pos="4419"/>
        <w:tab w:val="right" w:pos="8838"/>
      </w:tabs>
    </w:pPr>
  </w:style>
  <w:style w:type="character" w:customStyle="1" w:styleId="EncabezadoCar">
    <w:name w:val="Encabezado Car"/>
    <w:basedOn w:val="Fuentedeprrafopredeter"/>
    <w:link w:val="Encabezado"/>
    <w:uiPriority w:val="99"/>
    <w:rsid w:val="00D5412A"/>
    <w:rPr>
      <w:rFonts w:ascii="Arial" w:eastAsia="Arial" w:hAnsi="Arial" w:cs="Arial"/>
      <w:lang w:val="es-ES"/>
    </w:rPr>
  </w:style>
  <w:style w:type="paragraph" w:styleId="Piedepgina">
    <w:name w:val="footer"/>
    <w:basedOn w:val="Normal"/>
    <w:link w:val="PiedepginaCar"/>
    <w:uiPriority w:val="99"/>
    <w:unhideWhenUsed/>
    <w:rsid w:val="00D5412A"/>
    <w:pPr>
      <w:tabs>
        <w:tab w:val="center" w:pos="4419"/>
        <w:tab w:val="right" w:pos="8838"/>
      </w:tabs>
    </w:pPr>
  </w:style>
  <w:style w:type="character" w:customStyle="1" w:styleId="PiedepginaCar">
    <w:name w:val="Pie de página Car"/>
    <w:basedOn w:val="Fuentedeprrafopredeter"/>
    <w:link w:val="Piedepgina"/>
    <w:uiPriority w:val="99"/>
    <w:rsid w:val="00D5412A"/>
    <w:rPr>
      <w:rFonts w:ascii="Arial" w:eastAsia="Arial" w:hAnsi="Arial" w:cs="Arial"/>
      <w:lang w:val="es-ES"/>
    </w:rPr>
  </w:style>
  <w:style w:type="paragraph" w:styleId="NormalWeb">
    <w:name w:val="Normal (Web)"/>
    <w:basedOn w:val="Normal"/>
    <w:uiPriority w:val="99"/>
    <w:semiHidden/>
    <w:unhideWhenUsed/>
    <w:rsid w:val="00D5181D"/>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657897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es.wikipedia.org/wiki/Ibagu%C3%A9" TargetMode="External"/><Relationship Id="rId18" Type="http://schemas.openxmlformats.org/officeDocument/2006/relationships/hyperlink" Target="https://es.wikipedia.org/wiki/Argentina" TargetMode="External"/><Relationship Id="rId26" Type="http://schemas.openxmlformats.org/officeDocument/2006/relationships/hyperlink" Target="https://es.wikipedia.org/wiki/Rufina_Alfaro" TargetMode="External"/><Relationship Id="rId3" Type="http://schemas.openxmlformats.org/officeDocument/2006/relationships/settings" Target="settings.xml"/><Relationship Id="rId21" Type="http://schemas.openxmlformats.org/officeDocument/2006/relationships/hyperlink" Target="https://es.wikipedia.org/wiki/Piura" TargetMode="External"/><Relationship Id="rId7" Type="http://schemas.openxmlformats.org/officeDocument/2006/relationships/hyperlink" Target="https://es.wikipedia.org/wiki/La_Candelaria" TargetMode="External"/><Relationship Id="rId12" Type="http://schemas.openxmlformats.org/officeDocument/2006/relationships/hyperlink" Target="https://es.wikipedia.org/wiki/Bogot%C3%A1" TargetMode="External"/><Relationship Id="rId17" Type="http://schemas.openxmlformats.org/officeDocument/2006/relationships/hyperlink" Target="https://es.wikipedia.org/wiki/Buenos_Aires" TargetMode="External"/><Relationship Id="rId25" Type="http://schemas.openxmlformats.org/officeDocument/2006/relationships/hyperlink" Target="https://es.wikipedia.org/wiki/Panam%C3%A1"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png"/><Relationship Id="rId20" Type="http://schemas.openxmlformats.org/officeDocument/2006/relationships/hyperlink" Target="https://es.wikipedia.org/wiki/Jos%C3%A9_Balta" TargetMode="External"/><Relationship Id="rId29" Type="http://schemas.openxmlformats.org/officeDocument/2006/relationships/image" Target="media/image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es.wikipedia.org/wiki/Antonio_Nari%C3%B1o_(Bogot%C3%A1)" TargetMode="External"/><Relationship Id="rId24" Type="http://schemas.openxmlformats.org/officeDocument/2006/relationships/hyperlink" Target="https://es.wikipedia.org/wiki/Sarah_Bollo"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es.wikipedia.org/wiki/Monter%C3%ADa" TargetMode="External"/><Relationship Id="rId23" Type="http://schemas.openxmlformats.org/officeDocument/2006/relationships/hyperlink" Target="https://es.wikipedia.org/wiki/Rep%C3%BAblica_de_Uruguay" TargetMode="External"/><Relationship Id="rId28" Type="http://schemas.openxmlformats.org/officeDocument/2006/relationships/image" Target="media/image2.png"/><Relationship Id="rId10" Type="http://schemas.openxmlformats.org/officeDocument/2006/relationships/hyperlink" Target="https://es.wikipedia.org/wiki/Policarpa_(Bogot%C3%A1)" TargetMode="External"/><Relationship Id="rId19" Type="http://schemas.openxmlformats.org/officeDocument/2006/relationships/hyperlink" Target="https://es.wikipedia.org/wiki/Bartolom%C3%A9_Mitre" TargetMode="External"/><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es.wikipedia.org/wiki/Departamento_de_Nari%C3%B1o_(Colombia)" TargetMode="External"/><Relationship Id="rId14" Type="http://schemas.openxmlformats.org/officeDocument/2006/relationships/hyperlink" Target="https://es.wikipedia.org/wiki/La_Plata_(Huila)" TargetMode="External"/><Relationship Id="rId22" Type="http://schemas.openxmlformats.org/officeDocument/2006/relationships/hyperlink" Target="https://es.wikipedia.org/wiki/Per%C3%BA" TargetMode="External"/><Relationship Id="rId27" Type="http://schemas.openxmlformats.org/officeDocument/2006/relationships/hyperlink" Target="https://es.wikipedia.org/wiki/La_Villa_de_Los_Santos" TargetMode="External"/><Relationship Id="rId30" Type="http://schemas.openxmlformats.org/officeDocument/2006/relationships/image" Target="media/image4.jpeg"/><Relationship Id="rId8" Type="http://schemas.openxmlformats.org/officeDocument/2006/relationships/hyperlink" Target="https://es.wikipedia.org/wiki/Policarp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Pages>
  <Words>6363</Words>
  <Characters>35002</Characters>
  <Application>Microsoft Office Word</Application>
  <DocSecurity>0</DocSecurity>
  <Lines>291</Lines>
  <Paragraphs>82</Paragraphs>
  <ScaleCrop>false</ScaleCrop>
  <HeadingPairs>
    <vt:vector size="2" baseType="variant">
      <vt:variant>
        <vt:lpstr>Título</vt:lpstr>
      </vt:variant>
      <vt:variant>
        <vt:i4>1</vt:i4>
      </vt:variant>
    </vt:vector>
  </HeadingPairs>
  <TitlesOfParts>
    <vt:vector size="1" baseType="lpstr">
      <vt:lpstr>Microsoft Word - Ponencia PA 632-22.docx</vt:lpstr>
    </vt:vector>
  </TitlesOfParts>
  <Company/>
  <LinksUpToDate>false</LinksUpToDate>
  <CharactersWithSpaces>41283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Ponencia PA 632-22.docx</dc:title>
  <dc:creator>H.CONCEJAL MARTIN RIVERA ALZATE</dc:creator>
  <cp:lastModifiedBy>GLORIA INES CELY LUNA</cp:lastModifiedBy>
  <cp:revision>2</cp:revision>
  <dcterms:created xsi:type="dcterms:W3CDTF">2025-05-12T13:27:00Z</dcterms:created>
  <dcterms:modified xsi:type="dcterms:W3CDTF">2025-05-12T13:27:00Z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2024-10-29T00:00:00Z</vt:filetime>
  </property>
  <property fmtid="{D5CDD505-2E9C-101B-9397-08002B2CF9AE}" pid="3" name="Creator">
    <vt:lpwstr>Microsoft® Word 2016</vt:lpwstr>
  </property>
  <property fmtid="{D5CDD505-2E9C-101B-9397-08002B2CF9AE}" pid="4" name="LastSaved">
    <vt:filetime>2025-05-08T00:00:00Z</vt:filetime>
  </property>
  <property fmtid="{D5CDD505-2E9C-101B-9397-08002B2CF9AE}" pid="5" name="Producer">
    <vt:lpwstr>Microsoft® Word 2016</vt:lpwstr>
  </property>
</Properties>
</file>